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 przedmiotu: Prodziekan ds. Studiów Niestacjonarnych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- 8 godz. ćwiczeń.
2) Praca własna studenta – 23 godzin, w tym:
a) studia literaturowe: 8 godz.
b) praca nad przygotowaniem prezentacji: 15 godz.
3) RAZEM – 31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punktu ECTS – 8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 
a) udział w ćwiczeniach - 8 godzin;
b) praca nad przygotowaniem prezentacji – 17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ćwiczenia z następującego zakresu tematycznego:
Wymogi stawiane inżynierskim pracom dyplomowym.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prezentacji, aktywności studenta w ramach seminarium.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1150-00000-IZP-0605_W1: </w:t>
      </w:r>
    </w:p>
    <w:p>
      <w:pPr/>
      <w:r>
        <w:rPr/>
        <w:t xml:space="preserve">Student, który zaliczył przedmiot zna zasady organizacji pracy dyplomowej inżynierskiej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1150-00000-IZP-0605_U1: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1150-00000-IZP-0605_U2: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KMchtr_U02, KMchtr_U03, KMchtr_U04, 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InzA_U02,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1150-00000-ISP-0605_K1: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KMchtr_K04, KMchtr_K06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2026-10-16T17:36:56+02:00</dcterms:created>
  <dcterms:modified xsi:type="dcterms:W3CDTF">2026-10-16T17:36:56+02:00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