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Uszkodzeniowo zorientowane sterowanie układami dynamicznymi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kontaktowych- 34, w tym:
a) wykład 30 godz.;
b) konsultacje -2 godz.;
c) egzamin -2 godz.;
2) Praca własna studenta – 22, w tym:
a) studia literaturowe: 10 godz.
b) przygotowania do egzaminu: 12 godz.
3) RAZEM – 56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- 34, w tym:
a) wykład -30 godz.;
b) konsultacje -2 godz.;
c) egzamin -2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pomiarów wielkości dynamicznych, inżynieria programowania oraz podstaw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i rozszerzenie wiedzy z przedmiotów takich jak Matematyka czy Fizyka, umiejętność wykorzystywania jej do modelowania obiektów i zjawisk uszkodzeniowo zorientowanych. Uporządkowanie wiedzy z zakresu diagnostyki obiektów technicznych. Zgłębienie aktualnego stany wiedzy z zakresu diagnostyki oraz najnowsze trendy z tym kierunkiem związane. Poszerzenie umiejętności przeprowadzania symulacji komputerowych, interpretowania uzyskanych wyników i wyciągania wniosków. Umiejętność opracowywania wyników własnej pracy. Umiejętność zaprojektowania układu redundancji analitycznej dla konkretnych typów uszkodzeń aktuatorów i sensorów.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Wymagania i własności systemów odnośnie błędów i uszkodzeń.
2. Elementy układu sterowania uszkodzeniowo zorientowanego.
3. Architektura układów uszkodzeniowo zorientowanych.
4. Przykłady struktur układów sterowania.
5. Behawioralne modele systemów.
6. Systemy hybrydowe.
7. Analiza składowych i architektury systemu.
8. Uszkodzenie składowych i ich konsekwencje.
9. Propagacja uszkodzeń w pętli sprzężenia zwrotnego.
10. Analiza tolerancji błędów i uszkodzeń.
11. Modele strukturalne, kanoniczna dekompozycja obserwowalności, diagnozowalność, sterowalność.
12. Strukturalna analiza tolerancji błędów.
13. Analityczna redundancja liniowych układów dynamicznych.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http://www.mechatronika-simr.home.pl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1150-MT000-000-0534 _W1: </w:t>
      </w:r>
    </w:p>
    <w:p>
      <w:pPr/>
      <w:r>
        <w:rPr/>
        <w:t xml:space="preserve">Posiada rozszerzoną wiedzę z przedmiotów takich jak Matematyka czy Fizyka, potrafi wykorzystywać ją do modelowania obiektów i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T2A_W01</w:t>
      </w:r>
    </w:p>
    <w:p>
      <w:pPr>
        <w:keepNext w:val="1"/>
        <w:spacing w:after="10"/>
      </w:pPr>
      <w:r>
        <w:rPr>
          <w:b/>
          <w:bCs/>
        </w:rPr>
        <w:t xml:space="preserve">Efekt 1150-MT000-000-0534 _W2: </w:t>
      </w:r>
    </w:p>
    <w:p>
      <w:pPr/>
      <w:r>
        <w:rPr/>
        <w:t xml:space="preserve">Posiada rozszerzoną i uporządkowaną wiedzę z zakresu diagnostyki obiektów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KMchtr2_W04, KMchtr2_W07, KMchtr2_W12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T2A_W02, T2A_W03, T2A_W04, InzA_W02,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1150-MT000-000-0534 _W3: </w:t>
      </w:r>
    </w:p>
    <w:p>
      <w:pPr/>
      <w:r>
        <w:rPr/>
        <w:t xml:space="preserve">Zna aktualny stan wiedzy z zakresu diagnostyki oraz najnowsze trendy z tym kierunkiem związane.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1150-MT000-000-0534 _U1: </w:t>
      </w:r>
    </w:p>
    <w:p>
      <w:pPr/>
      <w:r>
        <w:rPr/>
        <w:t xml:space="preserve">Potrafi przeprowadzać symulacje komputerowe,
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T2A_U15, InzA_U01</w:t>
      </w:r>
    </w:p>
    <w:p>
      <w:pPr>
        <w:keepNext w:val="1"/>
        <w:spacing w:after="10"/>
      </w:pPr>
      <w:r>
        <w:rPr>
          <w:b/>
          <w:bCs/>
        </w:rPr>
        <w:t xml:space="preserve">Efekt 1150-MT000-000-0534 _U2: </w:t>
      </w:r>
    </w:p>
    <w:p>
      <w:pPr/>
      <w:r>
        <w:rPr/>
        <w:t xml:space="preserve">Potrafi zaprojektować układ redundancji analitycznej dla konkretnych typów uszkodzeń aktuatorów i sensorów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p>
      <w:pPr>
        <w:keepNext w:val="1"/>
        <w:spacing w:after="10"/>
      </w:pPr>
      <w:r>
        <w:rPr>
          <w:b/>
          <w:bCs/>
        </w:rPr>
        <w:t xml:space="preserve">Efekt 1150-MT000-000-0534 _U3: </w:t>
      </w:r>
    </w:p>
    <w:p>
      <w:pPr/>
      <w:r>
        <w:rPr/>
        <w:t xml:space="preserve">Potrafi opracowywać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2026-10-13T23:21:18+02:00</dcterms:created>
  <dcterms:modified xsi:type="dcterms:W3CDTF">2026-10-13T23:21:18+02:00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