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- 29, w tym:
a) wykład - 18 godz.;
b) ćwiczenia - 9 godz.;
c) konsultacje - 2 godz.
2. Praca własna studenta - 55 godzin, w tym:
a) studiowanie zalecanej literatury, bieżące przygotowywanie się do wykładów - 10 godz.;
b) bieżące przygotowywanie się do ćwiczeń, rozwiązywanie zadań - 20 godz.;
c) realizacja zadań domowych - 15 godz.;
d) przygotowanie do kolokwiów - 10 godz.
Razem - 84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- 29, w tym:
a) wykład - 18 godz.;
b) ćwiczenia - 9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konstrukcji:  prętowych (stateczność), wybranych  dwuwymiarowych 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równania wytrzymałości konstrukcji, zasada prac przygotowanych, zasada minimum całkowitej energii potencjalnej. Stateczność  konstrukcji prętowych, metoda energetyczna. Zagadnienia dwuwymiarowe, zagadnienie Lame, rury grubościenne , rury wielowarstwowe, cienkie tarcze osiowosymetryczne obciążone osiowosymetrycznie (wydatkiem, wirujące). Płyty kołowe obciążone osiowosymetrycznie (wydatkiem, obciążeniem ciągłym). Płyty prostokątne przegubowo podparte obciążone wydatkiem ciągłym. Stan zgięciowy w powłoce walcowej, podstawowe założenia, warunki brzegowe.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 , zadania domowe.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 
2. Brzoska Z.: Wytrzymałość Materiałów, PWN, Warszawa, 1979. 
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ML.ZNK430_W1: </w:t>
      </w:r>
    </w:p>
    <w:p>
      <w:pPr/>
      <w:r>
        <w:rPr/>
        <w:t xml:space="preserve">Ma podstawową wiedzę o modelowaniu i analizie prostych zagadnień osiowosymetrycznych - tarcz i rur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ML.ZNK430_W1: </w:t>
      </w:r>
    </w:p>
    <w:p>
      <w:pPr/>
      <w:r>
        <w:rPr/>
        <w:t xml:space="preserve">Ma podstawową wiedzę o modelowaniu i analizie prostych zagadnień osiowosymetrycznych - tarcz i rur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ML.ZNK430_W4: </w:t>
      </w:r>
    </w:p>
    <w:p>
      <w:pPr/>
      <w:r>
        <w:rPr/>
        <w:t xml:space="preserve">Zna  podstawowe równania  i  pojęcia wytrzymałości konstrukcji (ZPP, ZMCEP, równania konstytutywne 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ML.ZNK430_W4: </w:t>
      </w:r>
    </w:p>
    <w:p>
      <w:pPr/>
      <w:r>
        <w:rPr/>
        <w:t xml:space="preserve">Zna  podstawowe równania  i  pojęcia wytrzymałości konstrukcji (ZPP, ZMCEP, równania konstytutywne 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2026-10-16T14:57:09+02:00</dcterms:created>
  <dcterms:modified xsi:type="dcterms:W3CDTF">2026-10-16T14:57:09+02:00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