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mgr inż. Agnieszka Wielądek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obecność na ćwiczeniach - 30 godzin 
b) konsultacje - 5 godzin
2. Praca własna studenta – 25 godzin, w tym: 
a) zapoznanie z wskazaną literaturą - 7,5 godziny
b) przygotowanie do zajęć - 12,5 godziny
c) dokończenie (w domu) ćwiczeń projektowych - 5 godzin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obecność na ćwiczeniach - 30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pkt. ECTS - 25 godzin, w tym: 
a) zapoznanie z wskazaną literaturą - 7,5 godziny
b) przygotowanie do zajęć - 12,5 godziny
c) dokończenie (w domu) ćwiczeń projektowych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zapoznanie studentów z podstawami kompozycji urbanistycznej i projektowania urbanistycznego, a następnie sprawdzenie tych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1. ocena otoczenia przy pomocy "krzywej wrażeń" K. Wejcherta,
2. projekt parkingu naziemnego,
3. zapoznanie z typami zabudowy jednorodzinnej - zagospodarowanie pojedynczej działki,
4. projekt osiedla jednorodzinnego,
5. zapoznanie z typami zabudowy wielorodzinnej - zagospodarowanie pojedynczej działki,
6. projekt garażu podziemnego,
7. projekt osiedla wielorodzinnego.
</w:t>
      </w:r>
    </w:p>
    <w:p>
      <w:pPr>
        <w:keepNext w:val="1"/>
        <w:spacing w:after="10"/>
      </w:pPr>
      <w:r>
        <w:rPr>
          <w:b/>
          <w:bCs/>
        </w:rPr>
        <w:t xml:space="preserve">Metody oceny: </w:t>
      </w:r>
    </w:p>
    <w:p>
      <w:pPr>
        <w:spacing w:before="20" w:after="190"/>
      </w:pPr>
      <w:r>
        <w:rPr/>
        <w:t xml:space="preserve">Studenci odbywają czterogodzinne ćwiczenia projektowe, na których wykonują zadanie projektowe, konsultowane przez nauczycieli akademickich. Prace wykonywane są w trakcie zajęć i oddawane na ich koniec do oceny (możliwość dokończenia pracy w domu w przypadku złożonych projektów). Nieoddanie pracy skutkuje oceną niedostateczną. Wszystkie prace, niezależnie od nieobecności, należy oddać.
Studentom przysługuje jedna nieobecność nieusprawiedliwiona. W przypadku większej liczby nieobecności, Student nie zalicza całości kursu. Istnieje możliwość odrobienia zajęć.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 
Na zajęcia należy przynieść: białe kartki A3 i kalkę techniczną, przybory do rysowania (kredki, ołówki, gumkę, cienkopisy, markery, linijkę itp.).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„Budownictwo mieszkaniowe, poradnik projektanta”, Arkady, Warszawa 1989 
8. W. Lynch K.: The Image of the City, The MIT Press, Massachusetts and London 1960
9. Neufert E. „Podręcznik projektowania architektonicznego”, Arkady, Warszawa 
10. Rozporządzenie Ministra Infrastruktury z dnia 12 kwietnia 2002r. w sprawie warunków technicznych, jakim powinny odpowiadać budynki i ich usytuowanie, Dz.U.02.75.690 z późn. zmianami
11. Rozporządzenie Ministra Infrastruktury z dnia 26 sierpnia 2003r. w sprawie sposobu ustalania wymagań dotyczących nowej zabudowy i zagospodarowania terenu w przypadku miejscowego planu zagospodarowania terenu, Dz.U.03.164.1588
12. Szmidt B.: Ład przestrzeni, Państwowy Instytut Wydawniczy, Warszawa 1981
13. Szolginia W.: Estetyka miasta, Arkady, Warszawa 1981
14. Szolginia W.: Ład przestrzenny w zespole mieszkaniowym, Instytut Gospodarki Przestrzennej i Komunalnej, Warszawa 1987
15. Ustawa z dnia 27 marca 2003r. o planowaniu i zagospodarowaniu przestrzennym, Dz.U.03.80.717 z późn. zmianami
16. Wallis A.: Miasto i przestrzeń, Państwowe Wydawnictwo Naukowe, Warszawa 1977
17. Wejchert K.: Elementy kompozycji urbanistycznej, Arkady, Warszawa 1984
18. Gehl J. Miasta dla ludzi. wyd. RAM, Kraków 2014
19. Gehl J., Życie między budynkami, wyd. RAM, Kraków 2009
20. Korzeniewski W., Poradnik projektanta budownictwa mieszkaniowego,”, Arkady, Warszawa 1981
21. Losantos A., Santos Quartino D., Vranckx B., Krajobraz miejski, Nowe trendy. Nowe Inspiracje. Nowe Rozwiązania, LOFT Publication, Warszawa 2008
22. Michalak H. Kształtowanie konstrukcyjno - przestrzenne garaży podziemnych na terenach silnie zurbanizowanych, Oficyna Wydawnicza PW, Warszawa 2006
23. Pluta K. Przestrzenie Publiczne miast europejskich. Projektowanie Urbanistyczne, Oficyna Wydawnicza PW,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merytorycznie powiązany z wykładami z Podstaw architektury i urbanistyki.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GP.SIK322_W1: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GP.SIK322_W2: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GP.SIK322_W3: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GP.SIK322_W4: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GP.SIK322_U1: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GP.SIK322_U2: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GP.SIK322_U3: </w:t>
      </w:r>
    </w:p>
    <w:p>
      <w:pPr/>
      <w:r>
        <w:rPr/>
        <w:t xml:space="preserve">potrafi zaprojektować mały zespół zabudowy mieszkaniowej jednorodzinnej i wielorodzinnej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GP.SIK322_U4: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GP.SIK322_U5: </w:t>
      </w:r>
    </w:p>
    <w:p>
      <w:pPr/>
      <w:r>
        <w:rPr/>
        <w:t xml:space="preserve">zna i potrafi wykorzystać zasady i normy prawne stosowane przy projektowaniu kompleksów zabudowy mieszkaniowej i usługowej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pStyle w:val="Heading3"/>
      </w:pPr>
      <w:bookmarkStart w:id="4" w:name="_Toc4"/>
      <w:r>
        <w:t>Profil ogólnoakademicki - kompetencje społeczne</w:t>
      </w:r>
      <w:bookmarkEnd w:id="4"/>
    </w:p>
    <w:p>
      <w:pPr>
        <w:keepNext w:val="1"/>
        <w:spacing w:after="10"/>
      </w:pPr>
      <w:r>
        <w:rPr>
          <w:b/>
          <w:bCs/>
        </w:rPr>
        <w:t xml:space="preserve">Efekt GP.SIK322_K1: </w:t>
      </w:r>
    </w:p>
    <w:p>
      <w:pPr/>
      <w:r>
        <w:rPr/>
        <w:t xml:space="preserve">poszerza swoją wiedze z zakresu urbanistyki</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GP.SIK322_K2: </w:t>
      </w:r>
    </w:p>
    <w:p>
      <w:pPr/>
      <w:r>
        <w:rPr/>
        <w:t xml:space="preserve">zna zagrożenia środowiska mieszkaniowego i przyrodniczego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GP.SIK322_K3: </w:t>
      </w:r>
    </w:p>
    <w:p>
      <w:pPr/>
      <w:r>
        <w:rPr/>
        <w:t xml:space="preserve">zna zagrożenia wynikające ze złej decyzji lokalizacyjnej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GP.SIK322_K4: </w:t>
      </w:r>
    </w:p>
    <w:p>
      <w:pPr/>
      <w:r>
        <w:rPr/>
        <w:t xml:space="preserve">wyczuwa kontekst społeczny w urbanistyce i umie uwzględnić go w projektowaniu</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2026-10-14T08:39:10+02:00</dcterms:created>
  <dcterms:modified xsi:type="dcterms:W3CDTF">2026-10-14T08:39:10+02:00</dcterms:modified>
</cp:coreProperties>
</file>

<file path=docProps/custom.xml><?xml version="1.0" encoding="utf-8"?>
<Properties xmlns="http://schemas.openxmlformats.org/officeDocument/2006/custom-properties" xmlns:vt="http://schemas.openxmlformats.org/officeDocument/2006/docPropsVTypes"/>
</file>