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konstrukcje wielkopowierzchniowe (projektowanie centr handlowych, magazynów, hal), drewniane (projektowanie basenów), mostowe (kładki piesze, mosty), budynki wysokie i wysokościowe, konstrukcje cięgnowe itd. Studenci zapoznają się gabarytami obiektów i budowli oraz jaka powierzchnia jest niezbędna dla tych obiektów.
</w:t>
      </w:r>
    </w:p>
    <w:p>
      <w:pPr>
        <w:keepNext w:val="1"/>
        <w:spacing w:after="10"/>
      </w:pPr>
      <w:r>
        <w:rPr>
          <w:b/>
          <w:bCs/>
        </w:rPr>
        <w:t xml:space="preserve">Metody oceny: </w:t>
      </w:r>
    </w:p>
    <w:p>
      <w:pPr>
        <w:spacing w:before="20" w:after="190"/>
      </w:pPr>
      <w:r>
        <w:rPr/>
        <w:t xml:space="preserve">Na zakończenie wykładów przeprowadzony jest sprawdzian pisemny,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2026-04-16T08:17:40+02:00</dcterms:created>
  <dcterms:modified xsi:type="dcterms:W3CDTF">2026-04-16T08:17:40+02:00</dcterms:modified>
</cp:coreProperties>
</file>

<file path=docProps/custom.xml><?xml version="1.0" encoding="utf-8"?>
<Properties xmlns="http://schemas.openxmlformats.org/officeDocument/2006/custom-properties" xmlns:vt="http://schemas.openxmlformats.org/officeDocument/2006/docPropsVTypes"/>
</file>