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konstrukcje wielkopowierzchniowe (projektowanie centr handlowych, magazynów, hal), drewniane (projektowanie basenów), mostowe (kładki piesze, mosty), budynki wysokie i wysokościowe, konstrukcje cięgnowe itd. Studenci zapoznają się gabarytami obiektów i budowli oraz jaka powierzchnia jest niezbędna dla tych obiektów.
</w:t>
      </w:r>
    </w:p>
    <w:p>
      <w:pPr>
        <w:keepNext w:val="1"/>
        <w:spacing w:after="10"/>
      </w:pPr>
      <w:r>
        <w:rPr>
          <w:b/>
          <w:bCs/>
        </w:rPr>
        <w:t xml:space="preserve">Metody oceny: </w:t>
      </w:r>
    </w:p>
    <w:p>
      <w:pPr>
        <w:spacing w:before="20" w:after="190"/>
      </w:pPr>
      <w:r>
        <w:rPr/>
        <w:t xml:space="preserve">Na zakończenie wykładów przeprowadzony jest sprawdzian pisemny,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2026-10-14T12:20:40+02:00</dcterms:created>
  <dcterms:modified xsi:type="dcterms:W3CDTF">2026-10-14T12:20:40+02:00</dcterms:modified>
</cp:coreProperties>
</file>

<file path=docProps/custom.xml><?xml version="1.0" encoding="utf-8"?>
<Properties xmlns="http://schemas.openxmlformats.org/officeDocument/2006/custom-properties" xmlns:vt="http://schemas.openxmlformats.org/officeDocument/2006/docPropsVTypes"/>
</file>