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GP.SMK231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udział w wykładach - 30 godz., 
b) konsultacje: 5 godz.
2. Praca własna studenta – 23 godzin, w tym:
a) przygotowanie do zaliczenia i obecność na zaliczeniu - 13 godz. 
b) przygotowanie do zajęć, studiowanie literatury - 10 godz. 
Łączny nakład pracy studenta wynosi 58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udział w wykładach - 30 godz., 
b)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GP.SMK231_W1: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GP.SMK231_W4: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GP.SMK231_U1: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GP.SMK231_K1: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GP.SMK231_K3: </w:t>
      </w:r>
    </w:p>
    <w:p>
      <w:pPr/>
      <w:r>
        <w:rPr/>
        <w:t xml:space="preserve">Potrafi ocenić wpływ wielokierunkowych skutków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GP.SMK231_K4: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2026-10-14T17:07:38+02:00</dcterms:created>
  <dcterms:modified xsi:type="dcterms:W3CDTF">2026-10-14T17:07:38+02:00</dcterms:modified>
</cp:coreProperties>
</file>

<file path=docProps/custom.xml><?xml version="1.0" encoding="utf-8"?>
<Properties xmlns="http://schemas.openxmlformats.org/officeDocument/2006/custom-properties" xmlns:vt="http://schemas.openxmlformats.org/officeDocument/2006/docPropsVTypes"/>
</file>