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 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60, w tym:
a) udział w wykładach - 15 godz.
b) udział w zajęciach projektowych - 45 godz.
2. Praca własna studenta – 30 godzin, w tym:
a) realizacja zadań projektowych - 20 godz.
b) przygotowanie do zaliczenia i udział w zaliczeniu -  10 godz.
Łącznie nakład pracy studenta wynosi 90 godziny,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kontaktowych: 60, w tym:
a) udział w wykładach - 15 godz.
b) udział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- 65 godzin pracy studenta, w tym:
a) udział w zajęciach projektowych - 45 godz.
c) realizacja zadań projektowych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z geografii fizycznej i ekonomicznej, ekologii i ochrony środowiska, urbanistyki, przyrodniczych podstaw projektów przestrzennych, gleboznawstwa, umiejętność obsługi oprogramowania GIS oraz aktualna problematyka społeczno-gospodarcza 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i umiejętności praktycznych w zakresie: diagnozy stanu i funkcjonowania ekosystemów miejskich, identyfikacji ich współczesnych zagrożeń oraz czynnej ochrony i kształtowania ekosystemów miejskich z wykorzystaniem instrumentów planistycznych, w tym projektowania i wdrażania zielonej infrastruktury.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Miasto jako ekosystem. Ekosystemy w mieście. Funkcjonowanie układów ekologicznych w ekosystemach miejskich. Usługi ekosystemowe. Współczesne zagrożenia ekosystemów miejskich: zmiany klimatu, urbanizacja, antropopresja. Skala degradacji miast Polski. Problematyka ochrony środowiska w programowaniu miasta. Zrównoważony rozwój społeczno-gospodarczy w funkcjonowaniu ekosystemów miejskich.
Projekt: studium przypadku wybranego miasta. Diagnoza stanu i funkcjonowania ekosystemów miejskich na tle społeczno-gospodarczym. Identyfikacja obszarów problemowych i ranking zagrożeń ładu przyrodniczego, społecznego i gospodarczego metodą macierzy. Określenie potrzeb i potencjału do kształtowania zielonej Infrastruktury w skali miasta i wybranego osiedla mieszkaniowego. Sformułowanie założeń do koncepcji zielonej infrastruktury w skali miasta i wybranego osiedla mieszkaniowego. Opracowanie koncepcji ideowej zielonej infrastruktury w skali miasta i wybranego osiedla mieszkaniowego wraz z wytycznymi do dokumentów strategiczno-planistycznych zorientowanymi na jej wdrożenie.
Prezentacja wyników w formie referatu i dyskusji na ćwiczeniach.
Zajęcia są prowadzone metodą Project Based Learning (PBL).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analizowanego studium przypadku.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Geiger, W., Dreiseitl, H., 1999. Nowe sposoby odprowadzania wód deszczowych. Projprzem-EKO, Bydgoszcz.
Giedych R., 2018. Ochrona Przyrody w polityce przestrzennej miast. Studia PAN KPZK, tom CXC;
Królikowska, J., Królikowski, A., 2012. Wody opadowe: Odprowadzanie, zagospodarowanie, podczyszczanie i wykorzystanie. Wydawnictwo Seidel-Przywecki, Piaseczno.
NACTO, 2017. Urban Street Stormwater Guide. National Association of City Transportation Officials, IslandPress, Washington/Covelo/London.
Szulczewska B., 2018. Zielona Infrastruktura - czy koniec historii? Studia PAN KPZK, tom CLXXXIX;
Szulczewska B. 2002. Teoria ekosystemu w koncepcjach rozwoju miast. Wydawnictwo SGGW. Warszawa
Zielonko-Jung K., 2013. Kształtowanie przestrzenne architektury ekologicznej w strukturze miasta. Ofic. Wyd. PW, Warszawa;
Zimny H., 2005. Ekologia miasta. Agencja Rekl. - Wyd. A Grzegorczyk, Warszawa; 
Zrównoważony Rozwój–Zastosowania. Zieleń w mieście 4/2013, Fundacja Sendzimira (https://sendzimir.org.pl/publikacje/przyroda-w-miescie-rozwiazania-nr-4-2013/)
Zrównoważony Rozwój–Zastosowania. Woda w mieście 5/2014, Fundacja Sendzimira (https://sendzimir.org.pl/publikacje/woda-w-miescie-zrz-5-2014/)
Zrównoważony Rozwój–Zastosowania. Międzysektorowa współpraca na rzecz zieleni w mieście. 6/2018 (https://sendzimir.org.pl/publikacje/miedzysektorowa-wspolpraca_zrz6/)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 SMS251_W1: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SMS251_W2: </w:t>
      </w:r>
    </w:p>
    <w:p>
      <w:pPr/>
      <w:r>
        <w:rPr/>
        <w:t xml:space="preserve">zna zagadnienia dotyczące adaptacji do zmian klimatu w miastach i rozumie znaczenie infrastruktury zieleni w procesie adaptacji do zmian klimatu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 SMS251_U1: </w:t>
      </w:r>
    </w:p>
    <w:p>
      <w:pPr/>
      <w:r>
        <w:rPr/>
        <w:t xml:space="preserve">zna podstawowe systemy informacji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SMS251_U2: </w:t>
      </w:r>
    </w:p>
    <w:p>
      <w:pPr/>
      <w:r>
        <w:rPr/>
        <w:t xml:space="preserve">posiada umiejętnośc korzystania z literatury, opracowań naukowych jak też z dokumentów do wyciągania wniosków co do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SMS251_U3: </w:t>
      </w:r>
    </w:p>
    <w:p>
      <w:pPr/>
      <w:r>
        <w:rPr/>
        <w:t xml:space="preserve">posiada umiejętność wykonania dokumentów planistycznych, urbanistycznych zgodnych z polityka ekorozwoju; ma umiejętności wykonywania prac urbanistycznych w szczególności związanych z zagospodarowaniem terenów zzabudowanych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 SMS251_K1: </w:t>
      </w:r>
    </w:p>
    <w:p>
      <w:pPr/>
      <w:r>
        <w:rPr/>
        <w:t xml:space="preserve">posiada samoświadomość stanu badanej przestrzeni jak też istniejacych decyzji administracji rzadowej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2026-02-08T20:04:34+01:00</dcterms:created>
  <dcterms:modified xsi:type="dcterms:W3CDTF">2026-02-08T20:04:34+01:00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