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matematyczne w pomiarach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- 18 godzin, w tym:
a) udział w wykładach - 8 godzin,
b) udział w ćwiczeniach - 8 godzin,
c) udział w konsultacjach - 2 godziny.
2. Praca własna studenta - 14 godzin, w tym:
a) wykonanie (w domu) niezbędnych analiz i obliczeń oraz operatów z ćwiczeń projektowych - 10 godzin,
b) przygotowanie do zaliczenia - 4 godziny.
Razem: 32 godziny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punktu ECTS - liczba godzin kontaktowych - 18 godzin, w tym:
a) udział w wykładach - 8 godzin,
b) udział w ćwiczeniach - 8 godzin,
c)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0.5 punktu ECTS - 18 godzin, w tym:
a) udział w ćwiczeniach - 8 godzin,
b) wykonanie (w domu) niezbędnych analiz i obliczeń oraz operatów z ćwiczeń projektowych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mieć podstawową wiedzę z zakresu rachunku wyrównawczego, analiz dokładności i niezawodności sieci pomiarowych oraz elementarną wiedzę z mechaniki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modelami matematycznymi do badania i analizy przemieszczeń przydatnymi do współpracy geodecie inżynieryjnemu z fachowcami w dziedzinie budownictwa i inżynierii.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Specyfika modeli matematycznych do badania przemieszczeń. Klasyfikacja modeli matematycznych stosowanych w badaniu przemieszczeń – rys ewolucyjny i stan aktualny. Modele matematyczne do badania przemieszczeń bazujące na kinematycznym modelu sieci. Idea modelu kinematycznego dla pomiarów rozproszonych w czasie. Modele objaśniające i modele typu „wejście-wyjście”. Filtr Kalmana – założenia i podstawowe zależności. Koncepcja modelu dwuetapowego Perelmutera. Istota podejścia „back analysis” Chena.
ĆWICZENIA PROJEKTOWE
1. Przykład zastosowania jednoepokowego modelu kinematycznego sieci (sieć pozioma).
2. Praktyczny przykład zastosowania filtru Kalmana.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zaliczeniowy w formie pisemnej.
Zaliczenie ćwiczeń projektowych: obowiązek uczestnictwa w zajęciach; dopuszczalne są 2 nieobecności usprawiedliwione. Obowiązek usprawiedliwienia nieobecności w terminie 2 tygodni po nieobecności na zajęciach. Należy ustalić z prowadzącym zajęcia sposób odrabiania zaległych zajęć. 
Tryb i terminarz zaliczeń:
•	Wykład-zaliczenie – sprawdzian z wykładów na ostatniej godzinie wykładu w semestrze. Kolokwium poprawkowe wyznaczone w sesji w terminie nie kolidującym z Harmonogramem Sesji; 
•	Ćwiczenia projektowe. zaliczone na podstawie zaliczenia każdego z tematów ćwiczeniowych oraz sprawdzianu zaliczeniowego na ostatnich zajęciach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 (2015) Podstawy geodezyjnego wyznaczania przemieszczeń. Pojęcia i elementy metodyki. , Oficyna Wydawnicza PW, Warszawa
2.  Materiał podawany na wykładach (z publikacji anglojęzycznych)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GK.NMS406_W1: </w:t>
      </w:r>
    </w:p>
    <w:p>
      <w:pPr/>
      <w:r>
        <w:rPr/>
        <w:t xml:space="preserve">zna podstawowe cechy zaawansowanych modeli matematycznych stosowanych w geodezyjnym badaniu przemieszczeń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GK.NMS406_W2: </w:t>
      </w:r>
    </w:p>
    <w:p>
      <w:pPr/>
      <w:r>
        <w:rPr/>
        <w:t xml:space="preserve">zna strukturę i szczegółowe własności kinematycznego modelu jednoepokowej sieci geodezyjnej dla różnych postaci ruchu punktów tej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GK.NMS406_W3: </w:t>
      </w:r>
    </w:p>
    <w:p>
      <w:pPr/>
      <w:r>
        <w:rPr/>
        <w:t xml:space="preserve">zna założenia i podstawowe zależności filtru Kalmana w wersji stosowanej w geodezyjnym badaniu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GK.NMS406_W4: </w:t>
      </w:r>
    </w:p>
    <w:p>
      <w:pPr/>
      <w:r>
        <w:rPr/>
        <w:t xml:space="preserve">zna koncepcję modelu dwuetapowego Papo i Perelmutera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GK.NMS406_W5: </w:t>
      </w:r>
    </w:p>
    <w:p>
      <w:pPr/>
      <w:r>
        <w:rPr/>
        <w:t xml:space="preserve">zna metodę analizy odwrotnej („back analysis”) Chena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GK.NMS406_W6: </w:t>
      </w:r>
    </w:p>
    <w:p>
      <w:pPr/>
      <w:r>
        <w:rPr/>
        <w:t xml:space="preserve">zna przykładowe nowoczesne rozwiązania z zakresu geodezyjnych pomiarów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GK.NMS406_U1: </w:t>
      </w:r>
    </w:p>
    <w:p>
      <w:pPr/>
      <w:r>
        <w:rPr/>
        <w:t xml:space="preserve">potrafi skonstruować model kinematyczny jednoepokowej sieci geodezyjnej dla przewidywanej postaci i dynamiki ruchu jej punktów oraz wykonać niezbędne obliczenia i analizy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</w:t>
      </w:r>
    </w:p>
    <w:p>
      <w:pPr>
        <w:keepNext w:val="1"/>
        <w:spacing w:after="10"/>
      </w:pPr>
      <w:r>
        <w:rPr>
          <w:b/>
          <w:bCs/>
        </w:rPr>
        <w:t xml:space="preserve">Efekt GK.NMS406_U2: </w:t>
      </w:r>
    </w:p>
    <w:p>
      <w:pPr/>
      <w:r>
        <w:rPr/>
        <w:t xml:space="preserve">potrafi opracować wyniki pomiaru przemieszczeń w sieci 1D bądź 2D z użyciem filtru Kalmana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T2A_U18,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GK.NMS406_K1: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GK.NMS406_K2: </w:t>
      </w:r>
    </w:p>
    <w:p>
      <w:pPr/>
      <w:r>
        <w:rPr/>
        <w:t xml:space="preserve">ma świadomość odpowiedzialności za poprawność wyników swojego pomiaru, jako danych wejściowych do modeli specjalistycznych z zakresu budownictwa i inżynierii pozwalających dokonać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2026-10-14T21:04:21+02:00</dcterms:created>
  <dcterms:modified xsi:type="dcterms:W3CDTF">2026-10-14T21:04:21+02:00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