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przy założeniu, że 1 ECTS odpowiada około 30h pracy
nakład pracy własnej studenta powinien odpowiadać co najmniej  liczbie godzin zajęć z udziałem nauczycieli akademickich
wykład 30h - wiedza
ćwiczenia 15h - umiejętności praktyczne
laboratorium 15h - umiejętności praktyczne i kompetencje społeczne
konsultacje według potrzeb</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co odpowiada 60h zajęć z udziałem nauczyciela akademickiego
wykład 30h 
ćwiczenia 15h
laboratorium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metod konwersji cyfrowo-analogowej i analogowo-cyfrowej,
oraz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L.1 - parametry bramek i przerzutników;
L.2 - układy kombinacyjne i sekwencyjne;
L.3 - układy czasowe;
L.4 - wyświetlanie informacji cyfrowej;
L.5 - linie długie;
L.6 - konwertery cyfrowo-analogowe i analogowo-cyfrowe;</w:t>
      </w:r>
    </w:p>
    <w:p>
      <w:pPr>
        <w:keepNext w:val="1"/>
        <w:spacing w:after="10"/>
      </w:pPr>
      <w:r>
        <w:rPr>
          <w:b/>
          <w:bCs/>
        </w:rPr>
        <w:t xml:space="preserve">Metody oceny: </w:t>
      </w:r>
    </w:p>
    <w:p>
      <w:pPr>
        <w:spacing w:before="20" w:after="190"/>
      </w:pPr>
      <w:r>
        <w:rPr/>
        <w:t xml:space="preserve">dwa kollokwia w semestrze - 40 pkt
egzamin pisemny - 60 pkt
dyskusja wyników na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
    Internet - karty katalogowe układów scalonych
    Serwer Galera - karty katalogowe i opisy modułów laboratoryjnych</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https://usosweb.usos.pw.edu.pl/kontroler.php?_action=katalog2/przedmioty/pokazPrzedmiot&amp;prz_kod=103B-INIIT-ISP-ECY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ECY_W06: </w:t>
      </w:r>
    </w:p>
    <w:p>
      <w:pPr/>
      <w:r>
        <w:rPr/>
        <w:t xml:space="preserve">zna metody konstruowania bloków funkcjonalnych z układów scalonych</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ECY_U05: </w:t>
      </w:r>
    </w:p>
    <w:p>
      <w:pPr/>
      <w:r>
        <w:rPr/>
        <w:t xml:space="preserve">potrafi pozyskać dane katalogowe układów i sporządzić dokumentację zaprojektowanego bloku funkcjonalnego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ECY_U06: </w:t>
      </w:r>
    </w:p>
    <w:p>
      <w:pPr/>
      <w:r>
        <w:rPr/>
        <w:t xml:space="preserve">potrafi pracować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ECY_U07: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2026-07-28T15:03:11+02:00</dcterms:created>
  <dcterms:modified xsi:type="dcterms:W3CDTF">2026-07-28T15:03:11+02:00</dcterms:modified>
</cp:coreProperties>
</file>

<file path=docProps/custom.xml><?xml version="1.0" encoding="utf-8"?>
<Properties xmlns="http://schemas.openxmlformats.org/officeDocument/2006/custom-properties" xmlns:vt="http://schemas.openxmlformats.org/officeDocument/2006/docPropsVTypes"/>
</file>