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(4h) - projektowanie z wykorzystaniem kontraktów (ang. design by contract),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 oraz elementy pracy zespołowej.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B. Meyer Programowanie zorientowane obiektowo, Helion 2005/8 
[6] S.Wrycza, B. Marcinkowski Język inżynierii systemów SysML. Architektura i zastosowanie, Profile UML 2.x w praktyce. Helion 2010
[7] J. Warmer, A. Kleppe: OCL Precyzyjne modelowanie w UML, WNT 2003
[8] A. Shaloway, J.R. Trott: Projektowanie zorientowane obiektowo – wzorce projektowe, Helion 2001 (wyd. 1), Helion 2005 (wyd. 2)
[9] E.Gamma, R.Helm, R.Johnson, J.Vlissides, Wzorce projektowe, WNT 2005, II wyd. WNT 2008, Helion 2010
[10] R. Patton: Testowanie oprogramowania, Micom 2002
[11]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IOP2_U01: </w:t>
      </w:r>
    </w:p>
    <w:p>
      <w:pPr/>
      <w:r>
        <w:rPr/>
        <w:t xml:space="preserve">Student, który zaliczył przedmiot potrafi: opracować specyfikację wymagań, ocenić jakość takiej specyfikacji,
wskazać podstawowe ekonomiczne i społeczne konsekwencje dla wybranych zagadnień organizacji pracy i zarządzania wytwarzaniem oprogramowania, 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IOP2_U03: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IOP2_U04: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IOP2_U07: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IOP2_U08: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2026-08-17T23:24:12+02:00</dcterms:created>
  <dcterms:modified xsi:type="dcterms:W3CDTF">2026-08-17T23:24:12+02:00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