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+ 15 (konsultacje) + 20 (przyjmowanie projektów)=80,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podstawowych oraz bardziej zaawansowanych struktur i algorytmów sterowania ciągłymi obiektami dynamicznymi o jednym wejściu i jednym wyjściu (SISO – ang. Single Input Single Output), w tym procesami przemysłowymi. Rozważa się algorytmy regulacji z czasem ciągłym, ich dyskretne (cyfrowe) realizacje oraz algorytmy projektowane z czasem dyskretnym. Omawiane są: metoda sprzężenia od stanu, algorytmy i struktury regulacji PID, algorytmy regulacji predykcyjnej DMC (ang. Dynamic Matrix Control) i GPC (ang. Generalized Predictive Control), algorytmy regulacji rozmytej (rozmyty algorytm PID, rozmyty algorytm ze sprzężeniem od stanu, rozmyty algorytm regulacji predykcyjnej), warstwowa struktura sterowania przemysłowego z nadrzędną warstwą optymalizacji ekonomicznej. Ilustrację wykładu stanowią liczne przykłady przedstawiane w trakcie zajęć. Do syntezy układów regulacji wykorzystuje się pakiet Matlab/Simulink.</w:t>
      </w:r>
    </w:p>
    <w:p>
      <w:pPr>
        <w:keepNext w:val="1"/>
        <w:spacing w:after="10"/>
      </w:pPr>
      <w:r>
        <w:rPr>
          <w:b/>
          <w:bCs/>
        </w:rPr>
        <w:t xml:space="preserve">Treści kształcenia: </w:t>
      </w:r>
    </w:p>
    <w:p>
      <w:pPr>
        <w:spacing w:before="20" w:after="190"/>
      </w:pPr>
      <w:r>
        <w:rPr/>
        <w:t xml:space="preserve">Treść wykładu
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Treść ćwiczeń
Dwa bloki ćwiczeniowe dopasowane treścią do wykładu, zakończone sprawdzianami: 1) Metody przestrzeni stanów i modelowanie dyskretne obiektów ciągłych; 2) Algorytmy regulacji predykcyjnej i rozmytej.
Zakres projektu
Dla zadanego obiektu zaprojektowanie i przebadanie wskazanych układów sterowania, z wykorzystaniem środowiska pakietu MATLAB.
</w:t>
      </w:r>
    </w:p>
    <w:p>
      <w:pPr>
        <w:keepNext w:val="1"/>
        <w:spacing w:after="10"/>
      </w:pPr>
      <w:r>
        <w:rPr>
          <w:b/>
          <w:bCs/>
        </w:rPr>
        <w:t xml:space="preserve">Metody oceny: </w:t>
      </w:r>
    </w:p>
    <w:p>
      <w:pPr>
        <w:spacing w:before="20" w:after="190"/>
      </w:pPr>
      <w:r>
        <w:rPr/>
        <w:t xml:space="preserve">W trakcie semestru przeprowadzane są 2 kolokwia, każde oceniane w skali 0-30 pkt. Studenci mają możliwość wykonania dwóch projektów ocenianych w skali 0-30 pkt. Do zaliczenia przedmiotu należy uzyskać co najmniej 50 pkt.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Maciej Ławryńczuk: Sterowanie Procesów, preskrypt, 2010.
Lektury uzupełniające
1. R. C. Dorf, R. H. Bishop: Modern control systems. Addison-Wesley, 1995.
2. G. F. Franklin, J. D. Powell, A. Emami-Naeini: Feedback control of dynamic systems. Addison Wesley, 1994.
3. T. Kaczorek: Teoria układów regulacji automatycznej. WNT, Warszawa 1977.
4. P. Tatjewski: Zaawansowane sterowanie obiektów przemysłowych, struktury i algorytmy. EXIT, Warszawa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https://usosweb.usos.pw.edu.pl/kontroler.php?_action=katalog2/przedmioty/pokazPrzedmiot&amp;prz_kod=103B-ARxxx-ISP-STP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 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III.P6S_UW.3.o,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2026-07-27T18:45:46+02:00</dcterms:created>
  <dcterms:modified xsi:type="dcterms:W3CDTF">2026-07-27T18:45:46+02:00</dcterms:modified>
</cp:coreProperties>
</file>

<file path=docProps/custom.xml><?xml version="1.0" encoding="utf-8"?>
<Properties xmlns="http://schemas.openxmlformats.org/officeDocument/2006/custom-properties" xmlns:vt="http://schemas.openxmlformats.org/officeDocument/2006/docPropsVTypes"/>
</file>