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z zakresu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i strukturą normalizacji w informacji geograficznej oraz sposobami praktycznego wykorzystania zapisów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 
1. Pojęcia standardu i normy. Cele i zadania normalizacji. 
2. Przedmiot, struktura i organizacja normalizacji w IG. Standardy OGC, normy ISO. 
3. Formalizm norm, specyfikacja ISO/TS 19103 – język UML i ISO 19109 – reguły schematów aplikacyjnych. 
4. Wybrane zagadnienia z norm ISO serii 19100:
- opisywanie położenia (ISO 19107, ISO 19125-1, ISO 19111 i ISO 19112);
- schemat czasowy (ISO 19108);
- jakość danych (ISO 19157 i ISO 19158);
- metodyka katalogowania (ISO 19110);
- metadane (ISO 19115);
- język XML – GML (ISO 19136 i ISO 19139).
5. Zasady wykorzystywania norm w konkretnych zastosowaniach.
--&gt;Ćwiczenia:
1. Opracowanie schematu aplikacyjnego UML  na zadany temat zintegrowanego z normami ISO serii 19100 wraz z metadanymi.
2. Opracowanie definicji układu odniesienia dla wybranego tematu.
3. Opracowanie modelu jakości zgodnego z normami ISO serii 19100.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
Ćwiczenia: zaliczenie wszystkich projektów oraz kolokwium
Ocena końcowa: średnia ważona ⅔ - egzamin i ⅓ -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ISO serii 19100
Blooch G., Rumbaugh J., Jacobson I. "UML przewodnik użytkownika", 2001, WNT, Wraszawa
Chojka A., Michalak J., Parzyński Z., Zwirowicz-Rutkowska A. "Modele danych przestrzennych w UML i ich transformacja do schematów GML i struktur baz danych", 2012, Monografia, Roczniki Geomatyki, t.X, z.1(51)
Dyrektywa 2007/2/WE Parlamentu Europejskiego i Rady z 14 marca 2007r. ustanawiająca infrastrukturę informacji przestrzennej  we Wspólnocie Europejskiej (INSPIRE) http://eur-lex.europa.eu/LexUriServ/LexUriServ.do?uri=OJ:L:2007:108:0001:0014:pl:PDF (w jęz. polskim), 
Pachelski W., Chojka A.,  Zwirowicz-Rutkowska A. "Podstawy budowy infrastruktury informacji przestrzennej", 2012, Wyd. UW-M, Olsztyn
Parzyński Z., Chojka A. "Infrastruktura Informacji Przestrzennej w UML", 2013, Wyd. Geodeta, Warszawa
Rozporządzenia z dziedziny "GiK"
Specyfikacje danych INSPIRE   http://inspire.ec.europa.eu/index.cfm/pageid/2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stosowane na wykładzie: Enterprise Architect
Oprogramowanie stosowane na ćwiczenia: Enterprise Architect lub StarUML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GI.ISP-3007_W1: </w:t>
      </w:r>
    </w:p>
    <w:p>
      <w:pPr/>
      <w:r>
        <w:rPr/>
        <w:t xml:space="preserve">[PL] ma uporządkowaną wiedzę dotyczącą podstawowych pojęć  oraz struktury organizacji normalizacyjnych na świecie i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GI.ISP-3007_W2: </w:t>
      </w:r>
    </w:p>
    <w:p>
      <w:pPr/>
      <w:r>
        <w:rPr/>
        <w:t xml:space="preserve">[PL] ma uporządkowaną wiedzę w zakresie roli normalizacji 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GI.ISP-3007_W3: </w:t>
      </w:r>
    </w:p>
    <w:p>
      <w:pPr/>
      <w:r>
        <w:rPr/>
        <w:t xml:space="preserve">[PL] zna formalizmy stosowane w zapisach w międzynarodowych, europejskich i polskich normach z dziedziny informacji geograficznej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GI.ISP-3007_U1: </w:t>
      </w:r>
    </w:p>
    <w:p>
      <w:pPr/>
      <w:r>
        <w:rPr/>
        <w:t xml:space="preserve">[PL] student umie przeczytać i rozumie treść norm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GI.ISP-3007_U2: </w:t>
      </w:r>
    </w:p>
    <w:p>
      <w:pPr/>
      <w:r>
        <w:rPr/>
        <w:t xml:space="preserve">[PL] zna język angielski (lub inny oficjalny język Unii) ma poziomie pozwalającym samodzielne studiowanie standardów, opisów formatów i innych dokumentów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GI.ISP-3007_U3: </w:t>
      </w:r>
    </w:p>
    <w:p>
      <w:pPr/>
      <w:r>
        <w:rPr/>
        <w:t xml:space="preserve">[PL] zna podstawowe typy zdefiniowane w wybranych międzynarodowych standardach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GI.ISP-3007_U4: </w:t>
      </w:r>
    </w:p>
    <w:p>
      <w:pPr/>
      <w:r>
        <w:rPr/>
        <w:t xml:space="preserve">[PL] student umie wykorzystać zdobytą wiedzę i zastosować odpowiednie standardowe typy w schematach aplikacyjnych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GI.ISP-3007_K1: </w:t>
      </w:r>
    </w:p>
    <w:p>
      <w:pPr/>
      <w:r>
        <w:rPr/>
        <w:t xml:space="preserve">student rozumie znaczenie normalizacji i standardów w tworzeniu zintegrowanych struktur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2026-04-18T18:30:13+02:00</dcterms:created>
  <dcterms:modified xsi:type="dcterms:W3CDTF">2026-04-18T18:30:13+02:00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