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Dwa kolokwia zawierające łącznie 5 pytań opisowych.   wymagana częściowa odpowiedź na
każde z nich, tzn. co najmniej 50%. Możliwość zaliczenia 2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Tr1A_U18, Tr1A_U09, Tr1A_U11</w:t>
      </w:r>
    </w:p>
    <w:p>
      <w:pPr>
        <w:spacing w:before="20" w:after="190"/>
      </w:pPr>
      <w:r>
        <w:rPr>
          <w:b/>
          <w:bCs/>
        </w:rPr>
        <w:t xml:space="preserve">Powiązane charakterystyki obszarowe: </w:t>
      </w:r>
      <w:r>
        <w:rPr/>
        <w:t xml:space="preserve">III.P6S_UW.3.o, 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 </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2026-10-13T21:37:23+02:00</dcterms:created>
  <dcterms:modified xsi:type="dcterms:W3CDTF">2026-10-13T21:37:23+02:00</dcterms:modified>
</cp:coreProperties>
</file>

<file path=docProps/custom.xml><?xml version="1.0" encoding="utf-8"?>
<Properties xmlns="http://schemas.openxmlformats.org/officeDocument/2006/custom-properties" xmlns:vt="http://schemas.openxmlformats.org/officeDocument/2006/docPropsVTypes"/>
</file>