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1160-TRSRL-IZP-510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(2 godz.)
3.	Polskie prawo lotnicze: wybrane rozporządzenia i akty wykonawcze. (2 godz.)
4.	Prawo europejskie: struktura, zakres obowiązywania, przegląd uregulowań dot. lotnictwa. (2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(2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 (2 godz.)</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Tr1A_W10</w:t>
      </w:r>
    </w:p>
    <w:p>
      <w:pPr>
        <w:spacing w:before="20" w:after="190"/>
      </w:pPr>
      <w:r>
        <w:rPr>
          <w:b/>
          <w:bCs/>
        </w:rPr>
        <w:t xml:space="preserve">Powiązane charakterystyki obszarowe: </w:t>
      </w:r>
      <w:r>
        <w:rPr/>
        <w:t xml:space="preserve">I.P6S_WK, III.P6S_WK.o, I.P6S_WG</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Tr1A_W09</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Tr1A_U03, Tr1A_U01</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2026-10-14T06:03:56+02:00</dcterms:created>
  <dcterms:modified xsi:type="dcterms:W3CDTF">2026-10-14T06:03:56+02:00</dcterms:modified>
</cp:coreProperties>
</file>

<file path=docProps/custom.xml><?xml version="1.0" encoding="utf-8"?>
<Properties xmlns="http://schemas.openxmlformats.org/officeDocument/2006/custom-properties" xmlns:vt="http://schemas.openxmlformats.org/officeDocument/2006/docPropsVTypes"/>
</file>