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TMN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4 godz. razy 6 ćwiczeń;
-       zaliczenie laboratorium - 4 godz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laboratoryjnych: 28 godzin
-      przygotowanie do laboratorium 6* 3 godz = 18 godz. 
-      przygotowanie sprawozdań z laboratoriów 12 godz 
-	udział w konsultacjach: 6 godz. (zakładamy, że student sześciokrotnie w ciągu semestru korzysta z 1-godz. konsultacji dot. wykładu )
-	przygotowanie do egzaminu końcowego (rozwiązanie zadań przygotowawczych): 15 godzin
Łączny nakład pracy studenta wynosi zatem: 30+ 20 + 28 +12 + 6 + 15  = 111 godz.,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laboratoria - 28 godz
konsultacje - 6 godz
Razem    - 64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- 28 godz
przygotowanie sprawozdań - 12
Razem - 40 godz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Radiologia z Nukleoniką i Podstawy Obrazowania Medycznego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w:t>
      </w:r>
    </w:p>
    <w:p>
      <w:pPr>
        <w:keepNext w:val="1"/>
        <w:spacing w:after="10"/>
      </w:pPr>
      <w:r>
        <w:rPr>
          <w:b/>
          <w:bCs/>
        </w:rPr>
        <w:t xml:space="preserve">Metody oceny: </w:t>
      </w:r>
    </w:p>
    <w:p>
      <w:pPr>
        <w:spacing w:before="20" w:after="190"/>
      </w:pPr>
      <w:r>
        <w:rPr/>
        <w:t xml:space="preserve">Ocena końcowa, pod warunkiem uzyskania oceny pozytywnej z egzaminu, składa się z oceny z egzaminu i średniej oceny z wszystkich laboratoriów (z wagami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K_W03,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z zakresu budowy gammamaker, gazowych detektorów pozycyjnych, minigammakamer </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K_W05, K_W06, K_W04</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przeprowadzić pomiary z zakresu kontroli jakości gammakamery</w:t>
      </w:r>
    </w:p>
    <w:p>
      <w:pPr>
        <w:spacing w:before="60"/>
      </w:pPr>
      <w:r>
        <w:rPr/>
        <w:t xml:space="preserve">Weryfikacja: </w:t>
      </w:r>
    </w:p>
    <w:p>
      <w:pPr>
        <w:spacing w:before="20" w:after="190"/>
      </w:pPr>
      <w:r>
        <w:rPr/>
        <w:t xml:space="preserve">U1</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czynnościowe badanie serca bramkowane sygnałem EKG, 3. badanie tomograficzne SPECT perfuzji mięśnia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2026-07-29T03:20:20+02:00</dcterms:created>
  <dcterms:modified xsi:type="dcterms:W3CDTF">2026-07-29T03:20:20+02:00</dcterms:modified>
</cp:coreProperties>
</file>

<file path=docProps/custom.xml><?xml version="1.0" encoding="utf-8"?>
<Properties xmlns="http://schemas.openxmlformats.org/officeDocument/2006/custom-properties" xmlns:vt="http://schemas.openxmlformats.org/officeDocument/2006/docPropsVTypes"/>
</file>