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Jerzy Kalenik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EiT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Prakt_U01: </w:t>
      </w:r>
    </w:p>
    <w:p>
      <w:pPr/>
      <w:r>
        <w:rPr/>
        <w:t xml:space="preserve">potrafi rozwiązać zadania inżynierskie o charakterze praktycznym, wykorzystując nowoczesne metody i narzędzia stosowane w elektronice i telekomunikacji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K_U01, K_U02,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Prakt_U02: </w:t>
      </w:r>
    </w:p>
    <w:p>
      <w:pPr/>
      <w:r>
        <w:rPr/>
        <w:t xml:space="preserve">potrafi określić priorytety służące realizacji zadania, wyznaczonego przez siebie lub przełożonego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Prakt_U03: </w:t>
      </w:r>
    </w:p>
    <w:p>
      <w:pPr/>
      <w:r>
        <w:rPr/>
        <w:t xml:space="preserve">przestrzega przepisów BHP w zakładzie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Prakt_K03: </w:t>
      </w:r>
    </w:p>
    <w:p>
      <w:pPr/>
      <w:r>
        <w:rPr/>
        <w:t xml:space="preserve">zdaje sobie sprawę z konsekwencji, także społecznych, decyzji zawodowych podejmowanych przez inżyniera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2026-04-18T05:53:23+02:00</dcterms:created>
  <dcterms:modified xsi:type="dcterms:W3CDTF">2026-04-18T05:53:23+02:00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