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adiunkt,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godz.,studiowanie literatury przedmiotu 10 godz., przygotowanie się do egzaminu z wykładu 15 godz., konsultacje 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godz.,konsultacje 3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 składający się z 10 pytań otwartych. Wymagane jest uzyskanie 6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Tr2A_U01, Tr2A_U04</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 </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charakterystyki kierunkowe: </w:t>
      </w:r>
      <w:r>
        <w:rPr/>
        <w:t xml:space="preserve">Tr2A_K01, Tr2A_K02, Tr2A_K04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2026-08-27T04:57:44+02:00</dcterms:created>
  <dcterms:modified xsi:type="dcterms:W3CDTF">2026-08-27T04:57:44+02:00</dcterms:modified>
</cp:coreProperties>
</file>

<file path=docProps/custom.xml><?xml version="1.0" encoding="utf-8"?>
<Properties xmlns="http://schemas.openxmlformats.org/officeDocument/2006/custom-properties" xmlns:vt="http://schemas.openxmlformats.org/officeDocument/2006/docPropsVTypes"/>
</file>