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15 godz., studiowanie literatury przedmiotu 20 godz., konsultacje 1 godz., przygotowanie się do kolokwiów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praca na wykładach 15 godz., praca na ćwiczeniach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Tr2A_W08,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Tr2A_U06, Tr2A_U09, Tr2A_U11</w:t>
      </w:r>
    </w:p>
    <w:p>
      <w:pPr>
        <w:spacing w:before="20" w:after="190"/>
      </w:pPr>
      <w:r>
        <w:rPr>
          <w:b/>
          <w:bCs/>
        </w:rPr>
        <w:t xml:space="preserve">Powiązane charakterystyki obszarowe: </w:t>
      </w:r>
      <w:r>
        <w:rPr/>
        <w:t xml:space="preserve">I.P7S_UW, III.P7S_UW.2.o, III.P7S_UW.1.o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Tr2A_U09, Tr2A_U11</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2026-10-16T12:42:30+02:00</dcterms:created>
  <dcterms:modified xsi:type="dcterms:W3CDTF">2026-10-16T12:42:30+02:00</dcterms:modified>
</cp:coreProperties>
</file>

<file path=docProps/custom.xml><?xml version="1.0" encoding="utf-8"?>
<Properties xmlns="http://schemas.openxmlformats.org/officeDocument/2006/custom-properties" xmlns:vt="http://schemas.openxmlformats.org/officeDocument/2006/docPropsVTypes"/>
</file>