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 </w:t>
      </w:r>
    </w:p>
    <w:p>
      <w:pPr>
        <w:keepNext w:val="1"/>
        <w:spacing w:after="10"/>
      </w:pPr>
      <w:r>
        <w:rPr>
          <w:b/>
          <w:bCs/>
        </w:rPr>
        <w:t xml:space="preserve">Koordynator przedmiotu: </w:t>
      </w:r>
    </w:p>
    <w:p>
      <w:pPr>
        <w:spacing w:before="20" w:after="190"/>
      </w:pPr>
      <w:r>
        <w:rPr/>
        <w:t xml:space="preserve">dr inż. Grzegorz Wróblewski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Projektowanie i konstrukcja maszyn</w:t>
      </w:r>
    </w:p>
    <w:p>
      <w:pPr>
        <w:keepNext w:val="1"/>
        <w:spacing w:after="10"/>
      </w:pPr>
      <w:r>
        <w:rPr>
          <w:b/>
          <w:bCs/>
        </w:rPr>
        <w:t xml:space="preserve">Kod przedmiotu: </w:t>
      </w:r>
    </w:p>
    <w:p>
      <w:pPr>
        <w:spacing w:before="20" w:after="190"/>
      </w:pPr>
      <w:r>
        <w:rPr/>
        <w:t xml:space="preserve">IP-IDW-GRIN1-5-10Z</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150. Obejmuje:
1) Zajęcia kontaktowe z nauczycielem:
–	 obecność na wykładach	15 
–	obecność na zajęciach ćwiczeniowych	30
–	konsultacje	15.
2) Zajęcia bez kontaktu z nauczycielem (praca własna studenta):
–	przygotowanie do zajęć ćwiczeniowych 15;
–	zapoznanie się ze wskazana literaturą	10
–	wykonanie dokumentacji projektowej	30 
–	przygotowanie do egzaminu	20
–	przygotowanie się do zaliczenia	15.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praktyczna nauka rysunku technicznego maszynowego oraz zapoznanie studenta z podstawami  tolerowania wymiarów, oznaczania stanu powierzchni i zasad korzystania z norm.</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pojęciewysokości i głębokości punktu, rzutowanie na rzutnie wzajemnie prostopadłe metodą europejską,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Ćwiczenia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o stopniu trudności 2.
6.	Wykonanie rysunku odlewu obudowy łożyska. Linie przenikania w rysunku technicznym, rysowanie promieni i pochyleń odlewniczych.
7.	Szkicowanie i wymiarowanie detalu o stopniu trudności 3.
8.	Szkicowanie i wymiarowanie detalu o stopniu trudności 4. Oznaczanie chropowatości powierzchni.
9.	Tworzenie i odczytywanie rysunku złożeniowego, specyfikacja części. Archiwizacja dokumentacji.
10.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egzaminu i części projektowej.
Ocena końcowa z przedmiotu wyznaczana jest na podstawie średniej z ocen cząstkowych w następujący sposób:
O=0,5*W+0,5*C
W – ocena końcowa z egzaminu wykładu,  C – ocena końcowa z ćwiczeń.
W zależności od wyznaczonej średniej (z dwóch ocen pozytywnych) ocena końcowa ustalana jest w następujący sposób:
Obliczona średnia Ocena końcowa
3,00 – 3,49&gt;&gt;&gt; 	3,0
3,50 – 3,89 &gt;&gt;&gt; 	3,5
3,90 – 4,29 &gt;&gt;&gt; 	4,0
4,30 – 4,69 &gt;&gt;&gt; 	4,5
4,70 i więcej 	&gt;&gt;&gt; 	5,0
Brak zaliczenia części składowej przedmiotu (W lub P) powoduje, że w roku następnym student jest zobowiązany odrabiać cały przedmiot – oceny pozytywne nie są przepisywane na rok następny.
Egzamin przeprowadzany jest w czasie sesji, w terminach podanych przez dziekanat i składa się z kilku pytań/poleceń mających na celu sprawdzenie wiedzy studenta. Polecenia mają charakter praktycznych zadań rysunkowych, za które student otrzymuje określoną ilość punktów (techniczny sposób przeprowadzenia egzaminu, ilość poleceń, sposób oceny i skala ocen podana zostaje na ostatnich zajęciach przed egzaminem). Pozytywne zaliczenie egzaminu następuje po uzyskaniu min. 51% punktów. Student ma prawo do wglądu do pracy egzaminacyjnej na zasadach podanych w Regulaminie Studiów PW. Przewidziany jest jeden termin zasadniczy i kilka terminów poprawkowych (wg zasad podanych w Regulaminie Studiów PW). Student ma prawo do poprawy każdej otrzymanej oceny, jednak jeżeli zdecyduje się na poprawę oceny pozytywnej, to wiąże się to z anulowaniem oceny otrzymanej na poprzednim terminie.
Na ocenę końcową z projektowania składają się oceny cząstkowe z wszystkich prac wykonywanych samodzielnie przez studenta w trakcie zajęć, oceny z prac domowych oraz kolokwiów i sprawdzianów zaliczeniowych, przy czym największy wpływ na ocenę końcową mają wyniki kolokwiów (sposób oceny podany zostanie na pierwszych  zajęciach). Pozytywna ocena końcowa za zajęcia projektowe może zostać wystawiona tylko w przypadku zaliczenia.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2004.
2.	Paprocki K.: Zasady zapisu konstrukcji, OWPW, Warszawa 2006.
3.	Rydzanowicz O.: Rysunek techniczny jako zapis konstrukcji. Zadania, WNT, Warszawa 2004.
4.	Polskie Normy dotyczące rysunku technicznego.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2026-10-14T07:37:57+02:00</dcterms:created>
  <dcterms:modified xsi:type="dcterms:W3CDTF">2026-10-14T07:37:57+02:00</dcterms:modified>
</cp:coreProperties>
</file>

<file path=docProps/custom.xml><?xml version="1.0" encoding="utf-8"?>
<Properties xmlns="http://schemas.openxmlformats.org/officeDocument/2006/custom-properties" xmlns:vt="http://schemas.openxmlformats.org/officeDocument/2006/docPropsVTypes"/>
</file>