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udział w wykładach: 8 x 2 godz. = 16 godz., 
b) udział w konsultacjach: 4 x 2 godz = 8 godz.,
c) obecność na zaliczeniu: 3 godz.
2) Praca własna studenta - 23 godzin, w tym:
a) zapoznanie z literaturą przedmiotu: 8 godz.,
b) przygotowanie do zaliczenia: 15 godz.
Łącznie nakład pracy studenta wynosi 50 godzin,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- 27 godzin, w tym:
a) udział w wykładach: 8 x 2 godz. = 16 godz., 
b) udział w konsultacjach: 4 x 2 godz = 8 godz.,
c) obecność na zaliczeniu: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30 - studentów na wykładzie</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biznes plany, przyczyny niepowodzenia w planowaniu.
Struktury organizacyjne – modele i parametry struktur organizacyjnych. 
Studia przypadków - sukcesy i klęski menedżerów w zarządzaniu firmami.
</w:t>
      </w:r>
    </w:p>
    <w:p>
      <w:pPr>
        <w:keepNext w:val="1"/>
        <w:spacing w:after="10"/>
      </w:pPr>
      <w:r>
        <w:rPr>
          <w:b/>
          <w:bCs/>
        </w:rPr>
        <w:t xml:space="preserve">Metody oceny: </w:t>
      </w:r>
    </w:p>
    <w:p>
      <w:pPr>
        <w:spacing w:before="20" w:after="190"/>
      </w:pPr>
      <w:r>
        <w:rPr/>
        <w:t xml:space="preserve">1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GP.NMK201_W1: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GP.NMK201_W2: </w:t>
      </w:r>
    </w:p>
    <w:p>
      <w:pPr/>
      <w:r>
        <w:rPr/>
        <w:t xml:space="preserve">Rozumie konieczność  interdyscyplinarnego podejścia w planowaniu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w:t>
      </w:r>
    </w:p>
    <w:p>
      <w:pPr>
        <w:keepNext w:val="1"/>
        <w:spacing w:after="10"/>
      </w:pPr>
      <w:r>
        <w:rPr>
          <w:b/>
          <w:bCs/>
        </w:rPr>
        <w:t xml:space="preserve">Efekt GP.NMK201_W3: </w:t>
      </w:r>
    </w:p>
    <w:p>
      <w:pPr/>
      <w:r>
        <w:rPr/>
        <w:t xml:space="preserve">Rozumie konieczność  interdyscyplinarnego podejścia w planowaniu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GP.NMK201_W4: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w:t>
      </w:r>
    </w:p>
    <w:p>
      <w:pPr>
        <w:pStyle w:val="Heading3"/>
      </w:pPr>
      <w:bookmarkStart w:id="3" w:name="_Toc3"/>
      <w:r>
        <w:t>Profil ogólnoakademicki - umiejętności</w:t>
      </w:r>
      <w:bookmarkEnd w:id="3"/>
    </w:p>
    <w:p>
      <w:pPr>
        <w:keepNext w:val="1"/>
        <w:spacing w:after="10"/>
      </w:pPr>
      <w:r>
        <w:rPr>
          <w:b/>
          <w:bCs/>
        </w:rPr>
        <w:t xml:space="preserve">Efekt GP.NMK201_U1: </w:t>
      </w:r>
    </w:p>
    <w:p>
      <w:pPr/>
      <w:r>
        <w:rPr/>
        <w:t xml:space="preserve">Potrafi tworzyć  opracowania z merytorycznymi argumentamii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GP.NMK201_U2: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GP.NMK201_U3: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keepNext w:val="1"/>
        <w:spacing w:after="10"/>
      </w:pPr>
      <w:r>
        <w:rPr>
          <w:b/>
          <w:bCs/>
        </w:rPr>
        <w:t xml:space="preserve">Efekt GP.NMK201_U4: </w:t>
      </w:r>
    </w:p>
    <w:p>
      <w:pPr/>
      <w:r>
        <w:rPr/>
        <w:t xml:space="preserve">Potrafi ocenić różne struktury organizacyjne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pStyle w:val="Heading3"/>
      </w:pPr>
      <w:bookmarkStart w:id="4" w:name="_Toc4"/>
      <w:r>
        <w:t>Profil ogólnoakademicki - kompetencje społeczne</w:t>
      </w:r>
      <w:bookmarkEnd w:id="4"/>
    </w:p>
    <w:p>
      <w:pPr>
        <w:keepNext w:val="1"/>
        <w:spacing w:after="10"/>
      </w:pPr>
      <w:r>
        <w:rPr>
          <w:b/>
          <w:bCs/>
        </w:rPr>
        <w:t xml:space="preserve">Efekt GP.NMK201_K1: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GP.NMK201_K2: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2026-10-15T04:01:28+02:00</dcterms:created>
  <dcterms:modified xsi:type="dcterms:W3CDTF">2026-10-15T04:01:28+02:00</dcterms:modified>
</cp:coreProperties>
</file>

<file path=docProps/custom.xml><?xml version="1.0" encoding="utf-8"?>
<Properties xmlns="http://schemas.openxmlformats.org/officeDocument/2006/custom-properties" xmlns:vt="http://schemas.openxmlformats.org/officeDocument/2006/docPropsVTypes"/>
</file>