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biomedyczna</w:t>
      </w:r>
    </w:p>
    <w:p>
      <w:pPr>
        <w:keepNext w:val="1"/>
        <w:spacing w:after="10"/>
      </w:pPr>
      <w:r>
        <w:rPr>
          <w:b/>
          <w:bCs/>
        </w:rPr>
        <w:t xml:space="preserve">Koordynator przedmiotu: </w:t>
      </w:r>
    </w:p>
    <w:p>
      <w:pPr>
        <w:spacing w:before="20" w:after="190"/>
      </w:pPr>
      <w:r>
        <w:rPr/>
        <w:t xml:space="preserve">prof. dr hab. inż. Tomasz Ciach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1070-ICBIN-MSP-202</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21
3. Godziny pracy samodzielnej studenta w ramach przygotowania do zajęć oraz opracowania sprawozdań, projektów, prezentacji, raportów, prac domowych etc.	29
4. Godziny pracy samodzielnej studenta w ramach przygotowania do egzaminu, sprawdzianu, zaliczenia etc.	20
Sumaryczny nakład pracy studenta	115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podstawową wiedzą z zakresu inżynierii biomedycznej oraz nabycie praktycznych umiejętności wytwarzania podstawowych form biomateriałów i oceny ich właściwości.
</w:t>
      </w:r>
    </w:p>
    <w:p>
      <w:pPr>
        <w:keepNext w:val="1"/>
        <w:spacing w:after="10"/>
      </w:pPr>
      <w:r>
        <w:rPr>
          <w:b/>
          <w:bCs/>
        </w:rPr>
        <w:t xml:space="preserve">Treści kształcenia: </w:t>
      </w:r>
    </w:p>
    <w:p>
      <w:pPr>
        <w:spacing w:before="20" w:after="190"/>
      </w:pPr>
      <w:r>
        <w:rPr/>
        <w:t xml:space="preserve">Wykład
1. Inżynieria Biomedyczna – wprowadzenie.
2. Biomateriały .
3. Sztuczne narządy.
4. Odpowiedź organizmu na biomateriał.
5. Inżynieria tkankowa.
6. Obrazowanie medyczne.
Laboratorium
1. Konsultacje projektowe – opracowanie metodyki wytwarzania wybranego biomateriału o zadanych właściwościach.
2. Laboratorium – otrzymanie materiału oraz analiza jego właściwości fizykochemicznych.
3. Prezentacje otrzymanych wyników.
</w:t>
      </w:r>
    </w:p>
    <w:p>
      <w:pPr>
        <w:keepNext w:val="1"/>
        <w:spacing w:after="10"/>
      </w:pPr>
      <w:r>
        <w:rPr>
          <w:b/>
          <w:bCs/>
        </w:rPr>
        <w:t xml:space="preserve">Metody oceny: </w:t>
      </w:r>
    </w:p>
    <w:p>
      <w:pPr>
        <w:spacing w:before="20" w:after="190"/>
      </w:pPr>
      <w:r>
        <w:rPr/>
        <w:t xml:space="preserve">1. sprawdzian ustny
2. kolokwium
3. referat
4. sprawozdanie
5. dyskusja
6.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Monografia pod red. M. Nałęcza, Biocybernetyka i Inżynieria Biomedyczna, Akademicka Oficyna Wydawnicza Exit, Warszawa 2000.
2. R. Tadeusiewicz, Inżynieria biomedyczna, Uczelniane Wydawnictwa Naukowo-Dydaktyczne, Kraków 2008.
3. D. Bronzino, Introduction to Biomedical Engineering, Academic Press, 2012.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Cześć wykładowa przedmiotu składa się z 13 wykładów po 2 godziny wykładowe bez wliczania czasu na kolokwia końcowe. Udział w wykładach jest nieobowiązkowy. Warunkiem zaliczenia części wykładowej przedmiotu jest zaliczenie kolokwium końcowego. Studenci mają prawo do dwóch terminów kolokwium końcowego oraz jednego terminu poprawkowego. Terminy te wyznaczane są przez prowadzącego. Podczas zaliczenia studenci nie mogą korzystać z żadnych materiałów oraz urządzeń elektronicznych do czasu zakończenia sprawdzianu przez osobę przeprowadzającą zaliczenie.
Oceny z kolokwium końcowego wystawiane są zgodnie z następującą skalą ocen: &lt;50% - 2,0; 51%÷60% - 3,0; 61%÷70 – 3,5; 71÷80% - 4,0; 81÷90% - 4,5; 91÷100% - 5,0. Oceny pozytywne nie podlegają poprawie. Oceny negatywne podlegają poprawie w terminie poprawkowym. 
Laboratorium: 
Część laboratoryjna składa się z jednego spotkania w formie konsultacji, dwóch ćwiczeń laboratoryjnych oraz spotkania końcowego. Ćwiczenia wykonywane są w podgrupach, zgodnie z harmonogramem ustalanym przez prowadzącego ćwiczenia. Harmonogram zajęć dostępny jest do pobrania na stronie www.biomedlab.pw.edu.pl, w dziale „Pliki do pobrania”. Udział we wszystkich czterech spotkaniach jest obowiązkowy. 
Warunkiem dopuszczenia studenta do realizacji ćwiczeń laboratoryjnych jest wcześniejsze dostarczenie prowadzącemu (w formie i terminie ustalonym z prowadzącym) instrukcji do ćwiczeń. Do udziału w zajęciach laboratoryjnych nie jest wymagane zaliczenie części wykładowej. Warunkiem zaliczenia ćwiczeń laboratoryjnych jest: opracowanie zagadnień podanych w temacie projektu (weryfikacja przygotowania odbywa się na spotkaniu konsultacyjnym), przygotowanie instrukcji do ćwiczeń, poprawne wykonanie zaplanowanych doświadczeń oraz przygotowanie i wygłoszenie referatu końcowego prezentującego otrzymane wyniki.
Ocena końcowa jest średnią z trzech ocen cząstkowych: (1) przygotowanie do konsultacji i przygotowanie instrukcji do ćwiczeń, (2) wykonanie doświadczeń, (3) prezentacja wyników końcowych. Ocenę z części laboratoryjnej określa się zgodnie ze skalą ocen: &lt;50% - 2,0; 51%÷60% - 3,0; 61%÷70 – 3,5; 71÷80% - 4,0; 81÷90% - 4,5; 91÷100% - 5,0. Oceny pozytywne nie podlegają poprawie. 
Warunkiem zaliczenia przedmiotu jest uzyskanie pozytywnych ocen z części wykładowej i laboratoryjnej. Ocenę końcową z przedmiotu stanowi średnia ważona ocen uzyskanych z części wykładowej i laboratoryjnej, przy czym waga oceny z części wykładowej wynosi 0,6, zaś z części laboratoryjnej - 0,4. W przypadku nieuzyskania zaliczenia przedmiotu konieczne jest jego powtórzenie w kolejnym cyklu realizacji zajęć, przy czym powtórzeniu podlega jedynie ta część przedmiotu (wykład i/lub laboratorium),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trendach rozwojowych i najistotniejszych osiągnięciach z zakresu inżynierii chemicznej i procesowej dotyczącą biomateriałów, technik obrazowania medycznego oraz wykorzystania technik inżynierii tkankowej.</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rozszerzoną wiedzę przydatną do zrozumienia podstaw fizycznych i chemicznych procesów w inżynierii chemicznej i procesowej, w tym inżynierii biomedycznej. </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pozyskiwać informacje z literatury, bazy danych oraz innych źródeł; potrafi je
interpretować a także wyciągać wnioski.</w:t>
      </w:r>
    </w:p>
    <w:p>
      <w:pPr>
        <w:spacing w:before="60"/>
      </w:pPr>
      <w:r>
        <w:rPr/>
        <w:t xml:space="preserve">Weryfikacja: </w:t>
      </w:r>
    </w:p>
    <w:p>
      <w:pPr>
        <w:spacing w:before="20" w:after="190"/>
      </w:pPr>
      <w:r>
        <w:rPr/>
        <w:t xml:space="preserve">sprawdzian ustny, referat, sprawozdanie, dyskusja, seminarum</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Ma umiejętność planowania i prowadzenia badań w celu wytworzenia biomateriału, korzystać z przyrządów pomiarowych oraz interpretować uzyskane wyniki i wyciągać wnioski.</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Ma umiejętność planowania i prowadzenia badań w celu oceny cytotoksyczności materiału z zastosowaniem modelu in vitro oraz interpretować uzyskane wyniki i wyciągać wnioski.</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I.P7S_UW.o, III.P7S_UW.o, P7U_U</w:t>
      </w:r>
    </w:p>
    <w:p>
      <w:pPr>
        <w:keepNext w:val="1"/>
        <w:spacing w:after="10"/>
      </w:pPr>
      <w:r>
        <w:rPr>
          <w:b/>
          <w:bCs/>
        </w:rPr>
        <w:t xml:space="preserve">Charakterystyka U4: </w:t>
      </w:r>
    </w:p>
    <w:p>
      <w:pPr/>
      <w:r>
        <w:rPr/>
        <w:t xml:space="preserve">Umiejętność pracy w grupie.</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P7U_U, I.P7S_UO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2025-04-14T21:35:48+02:00</dcterms:created>
  <dcterms:modified xsi:type="dcterms:W3CDTF">2025-04-14T21:35:48+02:00</dcterms:modified>
</cp:coreProperties>
</file>

<file path=docProps/custom.xml><?xml version="1.0" encoding="utf-8"?>
<Properties xmlns="http://schemas.openxmlformats.org/officeDocument/2006/custom-properties" xmlns:vt="http://schemas.openxmlformats.org/officeDocument/2006/docPropsVTypes"/>
</file>