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1,24 ECTS:
laboratorium 30h +4h konsultacji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+ 8h przygotowanie do ćwiczeń laboratoryjnych + 8h wykonanie sprawozdań + 5h przygotowanie do testu +4h konsultacji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C. 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
</w:t>
      </w:r>
    </w:p>
    <w:p>
      <w:pPr>
        <w:keepNext w:val="1"/>
        <w:spacing w:after="10"/>
      </w:pPr>
      <w:r>
        <w:rPr>
          <w:b/>
          <w:bCs/>
        </w:rPr>
        <w:t xml:space="preserve">Metody oceny: </w:t>
      </w:r>
    </w:p>
    <w:p>
      <w:pPr>
        <w:spacing w:before="20" w:after="190"/>
      </w:pPr>
      <w:r>
        <w:rPr/>
        <w:t xml:space="preserve">C. 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2026-10-09T05:15:03+02:00</dcterms:created>
  <dcterms:modified xsi:type="dcterms:W3CDTF">2026-10-09T05:15:03+02:00</dcterms:modified>
</cp:coreProperties>
</file>

<file path=docProps/custom.xml><?xml version="1.0" encoding="utf-8"?>
<Properties xmlns="http://schemas.openxmlformats.org/officeDocument/2006/custom-properties" xmlns:vt="http://schemas.openxmlformats.org/officeDocument/2006/docPropsVTypes"/>
</file>