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korporacyjna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15h wykład + 15h ćwiczenia + 5h przygotowanie do zajęć, przygotowanie projektów i prezentacji + 10h zapoznanie z literaturą + 5h kon-sultacji=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
15h wykład + 15h ćwiczenia +5h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ECTS 
15h ćwiczenia + 5h przygotowanie do zajęć, przygotowanie projektów i prezentacji + 10h zapoznanie z literaturą + 5h konsultacji = 35h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Obsługa programów MS Office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teoretycznej wiedzy dotyczącej architektury korporacyjnej oraz praktycznych umiejętności jej projektowania, ze szczególnym uwzględnieniem struktur bazujących na systemach inteligentnych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i prezentacja regulaminu przedmiotu. Geneza i istota ładu korporacyjnego, procesów biznesowych wspieranych technologiami ICT i ładu architektonicznego. Kontinuum korporacyjne. Definicja architektury korporacyjnej. Zawód: architekt korporacyjny.
2. Modelowanie przedsiębiorstwa. Struktura, funkcje i powiązania poszczególnych komponentów firmy. Ocena poziomu dojrzałości architektury. Zaspokajanie potrzeb informacyjnych przedsiębiorstwa.
3. Wybrane modele i metody opisu architektury korporacyjnej. Planowanie i wdrażanie architektury korporacyjnej. 
4. Zarządzanie strategiczne, architektura korporacyjna, zarządzanie projektami i programami. 
5. Strategia biznesowa i strategia informatyzacji. Architektura korporacyjna i sztuczna inteligencja. Wyzwania ery Przemysłu 4.0 i Zarządzania 4.0.
6. Perspektywy rozwoju architektury korporacyjnej.
B. Ćwiczenia: 
1. Architektury korporacyjne w różnych przedsiębiorstwach.
2. Zasady projektowania architektur: biznesowych, danych, aplikacji, wiedzy i technologii.
3. Gromadzenie danych empirycznych dotyczących badanych przedsiębiorstw. Analiza i diagnoza stanu początkowego firm z uwzględnieniem przyjętej strategii oraz ich potrzeb informacyjnych. 
4. Proces planowania pożądanego stanu docelowego dla badanych przedsiębiorstw. Określanie możliwych sposobów osiągnięcia stanu docelowego. 
5. Prezentacje projektów studenckich.
6. Wystawianie i poprawianie ocen końcowych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związana z aktywności studentów podczas zajęć
2. Ocena sumatywna: sprawdzian końcowy w formie dyskusji.
B. Ćwiczenia: 
1. Ocena formatywna: dotyczy przedstawiania prezentacji oraz aktywnego uczestnictwa w dyskusjach związanych z projektami studentów.
2. Ocena sumatywna: dotyczy wartości merytorycznej przedstawionych projektów.
E. Końcowa ocena z przedmiotu: średnia arytmetyczna oceny z ćwiczeń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Marc L. i in., 2017. Enterprise Architecture at Work: Modelling, Communication and Analysis. Berlin Heidelberg: Springer-Verlag.
2.	Ross J. W., Weill P., Robertson D. C., 2010. Architektura korporacyjna jako strategia budowanie fundamentu w biznesie. Warszawa: Studio Emka.
Uzupełniająca:
1.	Grzeszczyk, T. A., 2018. Mixed Intelligent Systems: Developing Models for Project Management and Evaluation. Palgrave Macmil-lan/Springer International Publishing AG.
2.	Skilton, M., Hovsepian, F., 2018. The 4th Industrial Revolution: Responding to the Impact of Artificial Intelligence on Business. Palgrave Macmillan/Springer International Publishing AG.
3.	Stirna, J., Persson, A., 2018. Enterprise Modeling: Facilitating the Process and the People. Springer International Publishing AG.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Każdy projekt powinien być zaprezentowany na zajęciach. Ocenie podlegają zarówno wartości merytoryczne projektów, jak również sposoby ich prezentacji. Warunkiem dopuszczenia do zaliczenia końcowego jest uzyskanie co najmniej dostatecznej oceny z ćwiczeń.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I1_W01: </w:t>
      </w:r>
    </w:p>
    <w:p>
      <w:pPr/>
      <w:r>
        <w:rPr/>
        <w:t xml:space="preserve">Teorie oraz ogólną metodologia badań w zakresie zarządzania, ze szczególnym uwzględnieniem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ogólna metodologia badań w zakresie zastosowań narzędzi informatycznych w zarządzaniu i produkcji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teoretycznego sprawdzianu, 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I1_U01: </w:t>
      </w:r>
    </w:p>
    <w:p>
      <w:pPr/>
      <w:r>
        <w:rPr/>
        <w:t xml:space="preserve">Identyfikacja i interpretacja podstawowych zjawisk i procesów społecznych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I1_U16: </w:t>
      </w:r>
    </w:p>
    <w:p>
      <w:pPr/>
      <w:r>
        <w:rPr/>
        <w:t xml:space="preserve">Komunikowanie się z użyciem specjalistycznej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Krytyczna ocena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Uznawanie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2026-10-09T14:25:37+02:00</dcterms:created>
  <dcterms:modified xsi:type="dcterms:W3CDTF">2026-10-09T14:25:37+02:00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