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obecnością internetową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Bartczak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laboratorium + 20h praca indywidualna + 18h zapoznanie się z literaturą, przygotowanie się do zajęć +2h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
10h laboratorium + 2h konsultacje=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laboratorium + 20h praca indywidualna + 18h zapoznanie się z literaturą, przygotowanie się do zajęć +2h konsultacji=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i zagadnień dotyczących zarządzania obecnością internetową.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 Koncepcje i modele związane z SEO, PPC, SEM
2. Wyniki wyszukiwania i pozycjonowanie w wyszukiwarce
3. Optymalizacja On-page i Off-page
4. Analityka. Definiowanie słów kluczowych. Pomiar skuteczności i KPI
5. Platformy social media. Reklama w sieciach społecznościowych
6. Efektywność video advertising
7. Marketing wirusowy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ocena udziału w pracy zbiorowej, jednostkowej i grupowej.
2. Ocena sumatywna: terminowość wykonania projektów, zaliczenie wszystkich projektów oraz wynik rozmowy zaliczeniowej z prowadzącym.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Sałbut B., 2010, Inbound Marketing. Daj się poznać w Google, serwisach społecznościowych i na blogu, Gliwice: Helion
2.	Afuah A., 2003, Biznes internetowy - strategie i modele, Warszawa: Oficyna Ekonomiczna
3.	Bailyn E., 2014, SEO dla każdego, Gliwice: Helion
Uzupełniająca:
1.	Jones C., Ryan D., 2013, Najlepsze kampanie marketingu cyfrowego, Warszawa: Wolters Kluwer Polska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Student zna i rozumie teorie oraz ogólną metodologię badań w zakresie zastosowań narzędzi informatycznych w zarządzaniu, ze szczególnym uwzględnieniem działań
podejmowanych w środowisku internetowym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Student zna i rozumie teorie oraz ogólną metodologię badań w zakresie marketingu, ze szczególnym uwzględnieniem kreowania marki i zarządzania relacjami z klientem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Z1_U12: </w:t>
      </w:r>
    </w:p>
    <w:p>
      <w:pPr/>
      <w:r>
        <w:rPr/>
        <w:t xml:space="preserve">Student potrafi analizować i prognozować procesy i zjawiska społeczne z wykorzystaniem standardowych metod i narzędzi wykorzystywanych w marketingu,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Z1_U04: </w:t>
      </w:r>
    </w:p>
    <w:p>
      <w:pPr/>
      <w:r>
        <w:rPr/>
        <w:t xml:space="preserve">Student potrafi identyfikować i interpretować podstawowe zjawiska i procesy społeczne z wykorzystaniem wiedzy z zakresu marketingu, ze szczególnym uwzględnieniem uwarunkowań kreowania marki i zarządzania relacjami z klientem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2024-05-19T16:19:42+02:00</dcterms:created>
  <dcterms:modified xsi:type="dcterms:W3CDTF">2024-05-19T16:19:42+02:00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