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działalności gospodarczej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wykładu + 15h praca indywidualna + 5h konsultacji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10h wykładu + 5h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0,67 ECTS: 
15h praca indywidualna + 5h konsultacji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E. Końcowa ocena z przedmiotu: Ocena łączna: od 2 do 5; do zaliczenia przedmiotu wymagane jest uzyskanie co najmniej oceny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B2_W11: </w:t>
      </w:r>
    </w:p>
    <w:p>
      <w:pPr/>
      <w:r>
        <w:rPr/>
        <w:t xml:space="preserve">Student zna i rozumie zasady tworzenia i rozwijania różnych form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B2_U13: </w:t>
      </w:r>
    </w:p>
    <w:p>
      <w:pPr/>
      <w:r>
        <w:rPr/>
        <w:t xml:space="preserve">Student potrafi samodzielnie planować i realizować wła-sne uczenie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Student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2024-05-18T07:07:36+02:00</dcterms:created>
  <dcterms:modified xsi:type="dcterms:W3CDTF">2024-05-18T07:07:36+02:00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