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funkcjonowania instytucji państwa w sferze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wykładu + 15h ćwiczenia + 20h przygotowanie pracy zespołowej + 10h przygotowanie do zaliczenia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
15h wykładu + 15h ćwiczenia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
15h ćwiczenia + 20h przygotowanie pracy zespołowej + 10h przygotowanie do zaliczenia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problematyką administracyjno-prawnych aspektów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aksjologicznych, administracyjnych i systemowych aspektów systemu bezpieczeństwa państwa. Dzięki przekazanej wiedzy studenci posiądą wiedzę z zakresu przedstawianych zagadnień na poziomie profesjonalnym, co oznacza łatwość podejmowania działań w systemie bezpieczeństwa państwa oraz podstawy nauki o administracji w aspekcie bezpieczeństwa publicznego. Dodatkowo uzyskają znajomość systemów publicznego zarządzania kryzysowego na wszystkich poziomach zarządzania publicznego. Uogólnionym celem przedmiotu jest pogłębienie znajomości regulacji prawnych i administracyjno-organizacyjnej wpływających na działalność organizacji w zakresie realizacji jej funkcji dotyczących bezpieczeństwa funkcjonowania infrastruktury krytycznej oraz ich odniesienia do instytucji państwa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w formie materiałów udostępnionych drogą elektroniczną i konwersatorium w terminie uzgodnionym ze studentami (2 osoby)
1. Aksjologiczne podstawy bezpieczeństwa wewnętrznego RP. 2h
2. Struktura organów władzy i administracji odpowiedzialnych za bezpieczeństwo państwa i obywateli. 4h
3. Funkcjonalno-strukturalny model bezpieczeństwa. 1h
4. Globalizacja bezpieczeństwa. Współpraca międzynarodowa.1h
5. Bezpieczeństwo militarne. 1h
6. Publiczne zarządzanie kryzysowe na szczeblu centralnym, regionalnym i lokalnym. 4h
7. Obowiązki obywatela w publicznym zarządzaniu kryzysowym. Edukacja dla bezpieczeństwa. 2h
B. Ćwiczenia:  w formie warsztatów terenowych i konwersatoriów, w trybie uzgodnionym ze studentami (2 osoby)
1. Zapoznanie się z funkcjonowaniem RCB 3h + 2 h konwersatoriów w terminie uzgodnionym ze studentami
2. Zapoznanie się z wybranym centrum zarządzania kryzysowego 3h + 
2 h konwersatorium w terminie uzgodnionym ze studentami
3. Zapoznanie się z funkcjonowaniem Komendy Miejskiej Straży Pożarnej – 3h + 2h konwersatorium w terminie uzgodnionym ze studentami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. Ocena formatywna: sprawdzian pisemny oraz aktywny udział w konwersatorium na zajęciach, 
2. Ocena sumatywna: sprawdzian pisemny: forma: test; ocena w zakresie 2 – 5; zaliczenie: uzyskanie oceny ≥3, udokumentowana aktywność podnosi ocenę o 1,0 stopień. 
B. Ćwiczenia: 
1. Ocena formatywna: projekt zespołowy, sprawdzian pisemny (test) z zakresu wykładów i ćwiczeń
2. Ocena sumatywna: ocena uzyskana przez członka zespołu projektowego, aktywność na ćwiczeniach
C. Końcowa ocena z przedmiotu: średnia ocen z wykładów i ćwiczeń
w stosunku 0,6 do 0,4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Zdyb M. (red.), Stelmasiak J. (red.), Sikora K. (red.), 2015 System bezpieczeństwa i porządku publicznego. Organy i inne podmioty administracji. Warszawa: Wolters Kluwer SA 
2.	Gołębiowska A. (red.), Zientarski B. (red.), 2017 Administracja publiczna w systemie bezpieczeństwa państwa. Warszawa: Senat RP
3.	Kitler W., 2018 Organizacja bezpieczeństwa narodowego Rzeczypospolitej Polskiej. Aspekty ustrojowe, prawno-administracyjne i systemowe. Toruń: Wydawnictwo Adam Marszałek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Absolwent zna i rozumie w pogłębionym stopniu wymagania prawne i regulacyjne w zakresie bezpieczeństwa funkcjonowania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B2_W06: </w:t>
      </w:r>
    </w:p>
    <w:p>
      <w:pPr/>
      <w:r>
        <w:rPr/>
        <w:t xml:space="preserve">Absolwent zna i rozumie  w pogłębionym stopniu wiedzę z zakresu systemu bezpieczeństwa państwa,  w tym bezpieczeństwa lokalnego.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w pogłębionym stopniu miej-sce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Absolwent potrafi interpretować wymagania prawne i regulacyjne z zakresu bezpieczeństwa funkcjonowania organizacji i bezpieczeństwa infrastruktury krytycznej oraz przekładać je na procedury i wymagania we-wnętrzne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B2_U08: </w:t>
      </w:r>
    </w:p>
    <w:p>
      <w:pPr/>
      <w:r>
        <w:rPr/>
        <w:t xml:space="preserve">Absolwent potrafi prawidłowo posługiwać się normami prawnymi przy rozwiązywaniu wybranych problemów zapewniania bezpieczeństwa organizacji (w tym organizacji sektora publicznego)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gotowy do 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2024-05-18T05:58:40+02:00</dcterms:created>
  <dcterms:modified xsi:type="dcterms:W3CDTF">2024-05-18T05:58:40+02:00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