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Architektura i urbanistyka (BZ, IPB, KBI)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Adam Dolot dr inż. arch., Piotr Bujak dr inż. arch., Rafał Bujnowski mgr inż.arch., Marek Neubart mgr inż. arch.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1080-BU000-ISP-0354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 wykład 15 godz., projekt 30 godz., przygotowanie do zajęć projektowych 25 godz., konsultacje 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50 godz. = 2 ECTS: wykład 15 godz., projekt 30 godz., konsultacje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60 godz. = 2 ECTS: projekt 30 godz., przygotowanie do zajęć projektowych 25 godz., konsultacje 5 godz.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są wiadomości z budownictwa ogólnego, podstawowe wiadomości z konstrukcji budowlanych, fizyki cieplnej budowli oraz materiałów budowlanych. Niezbędna jest umiejętność sporządzania szkiców i rysunków architektoniczno-budowlanych.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prowadzonych zajęć jest zwrócenie uwagi przyszłych inżynierów konstruktorów na problemy estetyki w budownictwie. Wykłady mają zapoznać słuchaczy z podstawowymi informacjami o historii architektury europejskiej i rozwoju konstrukcji inżynierskich ze szczególnym uwzględnieniem tendencji występujących w XX wieku. Drugim istotnym celem jest wskazanie jak powinna odbywać się współpraca inżyniera konstruktora z architektem, tak ważna w trakcie całego procesu inwestycyjnego.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przedstawiają problemy projektowania architektonicznego i zarys historii architektury od czasów starożytnych do okresu współczesnego ze szczególnym uwzględnieniem architektury XX wieku. 
Ćwiczenia projektowe składają się z dwóch zadań:
Projekt 1 - koncepcja architektoniczna mieszkania dwu i trzypokojowego usytuowanego w wybranym typie budynku mieszkalnego - poznanie specyfiki projektowania mieszkań. 
Projekt 2 - projekt koncepcyjny prostego budynku usługowego z głównym pomieszczeniem o dużej rozpiętości, jak na przykład: salon samochodowy, sala gimnastyczna, ujeżdżalnia koni, warsztat szkutniczy, itp. Projekt należy wykonać w trwałej technice na zadanej sytuacji w skali 1:500; komplet pozostałych rysunków (rzuty, przekroje, elewacje) w skali 1:100. Wymagana jest wizualizacja (aksonometria lub perspektywa) zaprojektowanego budynku - poznanie podstawowych problemów projektowania architektonicznego - usytuowanie budowli w przestrzeni miejskiej, kształtowanie bryły, wpływ zastosowanej konstrukcji na rozwiązania funkcjonalno-przestrzenne, estetyka budowli.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 Wykłady zaliczane są jako sprawdzian pisemny przeprowadzany na ostatnim wykładzie w semestrze.
• Ćwiczenia projektowe są zaliczane:
- po zaliczeniu Projektu 1 przez prowadzącego indywidualne korekty
- po zaliczeniu przeglądu Projektu 2 wyznaczonego w połowie semestru 
- po złożeniu Projektu 2, wykonanego przez studenta w ciągu całego semestru, akceptowanego przez prowadzącego indywidualne korekty 
- ocena dokonywana będzie przez cały zespół dydaktyczny.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Broniewski Tadeusz, Historia architektury dla wszystkich, Ossolineum 1980;
[2] Buchner Monika i Andrzej, Laube Jan, Zarys projektowania i historii architektury, WSiPW 1991; 
[3] Gympel Jan, Historia architektury od antyku do czasów współczesnych, Könemann 2000; 
[4] Jenks Charles, Architektura postmodernistyczna, Arkady 1987; 
[5] Jodadio Philip, Nowe formy, Architektura lat dziewięćdziesiątych XX wieku, Muza S.A. 1998; 
[6] Koch Wilfried, Style w architekturze, Świat KsiąŜki 1996; 
[7] Neufert Ernst i Peter, Podręcznik projektowania architektoniczno-budowlanego, Arkady 1995;
[8] Pevsner Nikolaus, Fleming John, Honour Hugh, Encyklopedia architektury, WAiF 1992; 
[9] Pevsner Nikolaus, Historia architektury europejskiej, Arkady 1979;
[10] Tietz Jürgen, Historia architektury XX wieku, Könemann 1998; 
[11] Rozporządzenie ministra infrastruktury z dnia 12 kwietnia 2002 r. w sprawie warunków technicznych jakim powinny odpowiadać budynki i ich usytuowanie, (Dz U Nr 75 z dnia 15 czerwca 2002 r.).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podstawową wiedzę na temat projektowania urbanistycznego i architektonicznego oraz zagadnień związanych z projektowaniem.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K1_W02, K1_W07, K1_W12, 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T1A_W07, T1A_W04, T1A_W05, T1A_W07, T1A_W08, T1A_W01, T1A_W02, T1A_W04, T1A_W06, T1A_W02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	Ma podstawową wiedzę z zakresu historii urbanistyki, architektury i budownictwa.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	Umiejętność twórczej analizy projektu architektonicznego i urbanistycznego w zakresie rozwiązań konstrukcyjnych, technologicznych, materiałowych i formalnych.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K1_U07, K1_U12, 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T1A_U05, T1A_U14, T1A_U16, T1A_U03, T1A_U05, T1A_U14, T1A_U15, T1A_U16, T1A_U07, T1A_U11, T1A_U15, T1A_U16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	Umiejętność czytania i interpretacji projektu architektonicznego w trakcie realizacji.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K1_U12, 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T1A_U14, T1A_U15, T1A_U16, T1A_U07, T1A_U11, T1A_U15, T1A_U16</w:t>
      </w:r>
    </w:p>
    <w:p>
      <w:pPr>
        <w:keepNext w:val="1"/>
        <w:spacing w:after="10"/>
      </w:pPr>
      <w:r>
        <w:rPr>
          <w:b/>
          <w:bCs/>
        </w:rPr>
        <w:t xml:space="preserve">Efekt U3: </w:t>
      </w:r>
    </w:p>
    <w:p>
      <w:pPr/>
      <w:r>
        <w:rPr/>
        <w:t xml:space="preserve">Potrafi ocenić rodzaj i charakter istniejących konstrukcji budowlanych realizowanych w różnych okresach historycznych.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Ma zdolność kompetentnej współpracy z architektem w tracie procesu twórczego.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K1_K02,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T1A_K07,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2024-05-11T08:51:41+02:00</dcterms:created>
  <dcterms:modified xsi:type="dcterms:W3CDTF">2024-05-11T08:51:41+02:00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