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serwonapędu pneumatycznego i walczaka parowego. Punkt pracy modelu, charakterystyka statyczna, linearyzacja modelu, analiza dynamiki w punkcie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wykładu,310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MISO_IIst_W01: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MISO_IIst_W02: </w:t>
      </w:r>
    </w:p>
    <w:p>
      <w:pPr/>
      <w:r>
        <w:rPr/>
        <w:t xml:space="preserve">Posiada wiedzę i zrozumienie stosowania mechanizmów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MISO_IIst_W03: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MISO_IIst_W04: </w:t>
      </w:r>
    </w:p>
    <w:p>
      <w:pPr/>
      <w:r>
        <w:rPr/>
        <w:t xml:space="preserve">Posiada wiedzę dotycząca opracowywania modeli obiektów dynamicznym przy wykorzystaniu metod sztucznej inteligencji, w tym również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MISO_IIst_U01: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złożonego systemu, ocena sprawozdania z przebiegu testów, ocena z obrona ustnej wyników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MISO_IIst_U02: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wyników projektu modelowania wybranego układu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MISO_IIst_U03: </w:t>
      </w:r>
    </w:p>
    <w:p>
      <w:pPr/>
      <w:r>
        <w:rPr/>
        <w:t xml:space="preserve">Potrafi opracować modele obiektów przmysłowych m.in. na potrzeby tzw. soft-pomiaru przy wykorzystaniu metod klasycznych oraz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MISO_IIst_K01: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2026-03-24T01:27:51+01:00</dcterms:created>
  <dcterms:modified xsi:type="dcterms:W3CDTF">2026-03-24T01:27:51+01:00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