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wykład 30 godz., 
zajęcia laboratoryjne 15 godz.,
konsultacje – 2 godz.
2) Praca własna studenta – 30 godz.
•	studia literaturowe, przygotowanie do sprawdzianów 15 godz., 
•	wykonanie laboratoriów 15 godz.,
RAZEM- 77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47, w tym:
wykład 30 godz., 
zajęcia laboratoryjne 15 godz.,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charakterystyki kierunkowe: </w:t>
      </w:r>
      <w:r>
        <w:rPr/>
        <w:t xml:space="preserve">K_U07, K_U09, K_U21, K_U06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2026-10-14T11:29:42+02:00</dcterms:created>
  <dcterms:modified xsi:type="dcterms:W3CDTF">2026-10-14T11:29:42+02:00</dcterms:modified>
</cp:coreProperties>
</file>

<file path=docProps/custom.xml><?xml version="1.0" encoding="utf-8"?>
<Properties xmlns="http://schemas.openxmlformats.org/officeDocument/2006/custom-properties" xmlns:vt="http://schemas.openxmlformats.org/officeDocument/2006/docPropsVTypes"/>
</file>