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 </w:t>
      </w:r>
    </w:p>
    <w:p>
      <w:pPr>
        <w:keepNext w:val="1"/>
        <w:spacing w:after="10"/>
      </w:pPr>
      <w:r>
        <w:rPr>
          <w:b/>
          <w:bCs/>
        </w:rPr>
        <w:t xml:space="preserve">Koordynator przedmiotu: </w:t>
      </w:r>
    </w:p>
    <w:p>
      <w:pPr>
        <w:spacing w:before="20" w:after="190"/>
      </w:pPr>
      <w:r>
        <w:rPr/>
        <w:t xml:space="preserve">Robert Kowalski, prof. nzw. dr hab.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1080-BUKBD-MZP-0407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godz.; obecność na ćwiczeniach projektowych 12 godz.; indywidualne studiowanie prezentacji z wykładów i wskazanych materiałów 19 godz.; indywidualne wykonanie ćwiczeń projektowych 10 godz.; obrona projektów 1 godz. Razem 54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godz.; obecność na ćwiczeniach projektowych 12 godz.; obrona projektów 1 godz. Razem 25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12 godz.; indywidualne wykonanie ćwiczeń projektowych 10 godz.; obrona projektów 1 godz. Razem 23 godz.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obliczeniowa. Poziomy i etapy analizy konstrukcji. Oddziaływania pożaru na konstrukcje. Obliczeniowe modele przebiegu pożaru. Obliczeniowy efekt oddziaływań w trwałej sytuacji obliczeniowej i wyjątkowej sytuacji obliczeniowej 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prof.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prof. dr inż. E. Szmigiera). Projekt prostego elementu stalowego (belka lub słup) z uwzględnieniem wymagań bezpieczeństwa pożarowego. Obliczeniowe sprawdzenie odporności ogniowej, zaprojektowanego elementu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nieuwzględnienia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2026-10-09T05:15:48+02:00</dcterms:created>
  <dcterms:modified xsi:type="dcterms:W3CDTF">2026-10-09T05:15:48+02:00</dcterms:modified>
</cp:coreProperties>
</file>

<file path=docProps/custom.xml><?xml version="1.0" encoding="utf-8"?>
<Properties xmlns="http://schemas.openxmlformats.org/officeDocument/2006/custom-properties" xmlns:vt="http://schemas.openxmlformats.org/officeDocument/2006/docPropsVTypes"/>
</file>