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oddziaływaniu promieniowania jonizującego z materią; aparaturze diagnostycznej wykorzystującej promieniowanie jonizujące; wielkościach i jednostkach dozymetrycznych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
Zasady ochrony radiologicznej.
Zakres zajęć projektowych obejmuje: 
Praktyczne obliczanie osłon przed promieniowaniem jonizującym. Opracowanie dokumentacji projektowej pracowni rentgenowskiej i izotopowej.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dn. 29 listopada 2000 r. - Prawo atomowe (Dz. U. z 2019 r. poz. 1792 oraz z 2020 r. poz. 284, 322) wraz z obowiązującymi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PPRI_W01: </w:t>
      </w:r>
    </w:p>
    <w:p>
      <w:pPr/>
      <w:r>
        <w:rPr/>
        <w:t xml:space="preserve">Zna cele i podstawowe zasady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PPRI_U01: </w:t>
      </w:r>
    </w:p>
    <w:p>
      <w:pPr/>
      <w:r>
        <w:rPr/>
        <w:t xml:space="preserve">Potrafi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2026-10-16T22:02:13+02:00</dcterms:created>
  <dcterms:modified xsi:type="dcterms:W3CDTF">2026-10-16T22:02:13+02:00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