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keepNext w:val="1"/><w:spacing w:after="10"/></w:pPr><w:r><w:rPr><w:b/><w:bCs/></w:rPr><w:t xml:space="preserve">Nazwa przedmiotu: </w:t></w:r></w:p><w:p><w:pPr><w:spacing w:before="20" w:after="190"/></w:pPr><w:r><w:rPr/><w:t xml:space="preserve">Fundusze strukturalne i system finansowania projektów Unii Europejskiej</w:t></w:r></w:p><w:p><w:pPr><w:keepNext w:val="1"/><w:spacing w:after="10"/></w:pPr><w:r><w:rPr><w:b/><w:bCs/></w:rPr><w:t xml:space="preserve">Koordynator przedmiotu: </w:t></w:r></w:p><w:p><w:pPr><w:spacing w:before="20" w:after="190"/></w:pPr><w:r><w:rPr/><w:t xml:space="preserve">dr hab. J. Łacny, prof. uczelni</w:t></w:r></w:p><w:p><w:pPr><w:keepNext w:val="1"/><w:spacing w:after="10"/></w:pPr><w:r><w:rPr><w:b/><w:bCs/></w:rPr><w:t xml:space="preserve">Status przedmiotu: </w:t></w:r></w:p><w:p><w:pPr><w:spacing w:before="20" w:after="190"/></w:pPr><w:r><w:rPr/><w:t xml:space="preserve">Obowiązkowy</w:t></w:r></w:p><w:p><w:pPr><w:keepNext w:val="1"/><w:spacing w:after="10"/></w:pPr><w:r><w:rPr><w:b/><w:bCs/></w:rPr><w:t xml:space="preserve">Poziom kształcenia: </w:t></w:r></w:p><w:p><w:pPr><w:spacing w:before="20" w:after="190"/></w:pPr><w:r><w:rPr/><w:t xml:space="preserve">Studia II stopnia</w:t></w:r></w:p><w:p><w:pPr><w:keepNext w:val="1"/><w:spacing w:after="10"/></w:pPr><w:r><w:rPr><w:b/><w:bCs/></w:rPr><w:t xml:space="preserve">Program: </w:t></w:r></w:p><w:p><w:pPr><w:spacing w:before="20" w:after="190"/></w:pPr><w:r><w:rPr/><w:t xml:space="preserve">Administracja</w:t></w:r></w:p><w:p><w:pPr><w:keepNext w:val="1"/><w:spacing w:after="10"/></w:pPr><w:r><w:rPr><w:b/><w:bCs/></w:rPr><w:t xml:space="preserve">Grupa przedmiotów: </w:t></w:r></w:p><w:p><w:pPr><w:spacing w:before="20" w:after="190"/></w:pPr><w:r><w:rPr/><w:t xml:space="preserve">Obowiązkowe</w:t></w:r></w:p><w:p><w:pPr><w:keepNext w:val="1"/><w:spacing w:after="10"/></w:pPr><w:r><w:rPr><w:b/><w:bCs/></w:rPr><w:t xml:space="preserve">Kod przedmiotu: </w:t></w:r></w:p><w:p><w:pPr><w:spacing w:before="20" w:after="190"/></w:pPr><w:r><w:rPr/><w:t xml:space="preserve">A21_FSSFPUE</w:t></w:r></w:p><w:p><w:pPr><w:keepNext w:val="1"/><w:spacing w:after="10"/></w:pPr><w:r><w:rPr><w:b/><w:bCs/></w:rPr><w:t xml:space="preserve">Semestr nominalny: </w:t></w:r></w:p><w:p><w:pPr><w:spacing w:before="20" w:after="190"/></w:pPr><w:r><w:rPr/><w:t xml:space="preserve">1 / rok ak. 2020/2021</w:t></w:r></w:p><w:p><w:pPr><w:keepNext w:val="1"/><w:spacing w:after="10"/></w:pPr><w:r><w:rPr><w:b/><w:bCs/></w:rPr><w:t xml:space="preserve">Liczba punktów ECTS: </w:t></w:r></w:p><w:p><w:pPr><w:spacing w:before="20" w:after="190"/></w:pPr><w:r><w:rPr/><w:t xml:space="preserve">4</w:t></w:r></w:p><w:p><w:pPr><w:keepNext w:val="1"/><w:spacing w:after="10"/></w:pPr><w:r><w:rPr><w:b/><w:bCs/></w:rPr><w:t xml:space="preserve">Liczba godzin pracy studenta związanych z osiągnięciem efektów uczenia się: </w:t></w:r></w:p><w:p><w:pPr><w:spacing w:before="20" w:after="190"/></w:pPr><w:r><w:rPr/><w:t xml:space="preserve">1. Liczba godzin kontaktowych 35 h, w tym obecność na wykładach (30 h), konsultacje (5h) 2.Praca własna studenta to 40 h, w tym czytanie literatury  (30 h) i przygotowanie się do zaliczenia (30 h). Przedmiot ma 4 ECTS = 100 godz. pracy studenta</w:t></w:r></w:p><w:p><w:pPr><w:keepNext w:val="1"/><w:spacing w:after="10"/></w:pPr><w:r><w:rPr><w:b/><w:bCs/></w:rPr><w:t xml:space="preserve">Liczba punktów ECTS na zajęciach wymagających bezpośredniego udziału nauczycieli akademickich: </w:t></w:r></w:p><w:p><w:pPr><w:spacing w:before="20" w:after="190"/></w:pPr><w:r><w:rPr/><w:t xml:space="preserve">35h=1,4 ECTS</w:t></w:r></w:p><w:p><w:pPr><w:keepNext w:val="1"/><w:spacing w:after="10"/></w:pPr><w:r><w:rPr><w:b/><w:bCs/></w:rPr><w:t xml:space="preserve">Język prowadzenia zajęć: </w:t></w:r></w:p><w:p><w:pPr><w:spacing w:before="20" w:after="190"/></w:pPr><w:r><w:rPr/><w:t xml:space="preserve">polski</w:t></w:r></w:p><w:p><w:pPr><w:keepNext w:val="1"/><w:spacing w:after="10"/></w:pPr><w:r><w:rPr><w:b/><w:bCs/></w:rPr><w:t xml:space="preserve">Liczba punktów ECTS, którą student uzyskuje w ramach zajęć o charakterze praktycznym: </w:t></w:r></w:p><w:p><w:pPr><w:spacing w:before="20" w:after="190"/></w:pPr><w:r><w:rPr/><w:t xml:space="preserve">35h=1,4 p. ECTS</w:t></w:r></w:p><w:p><w:pPr><w:keepNext w:val="1"/><w:spacing w:after="10"/></w:pPr><w:r><w:rPr><w:b/><w:bCs/></w:rPr><w:t xml:space="preserve">Formy zajęć i ich wymiar w semestrze: </w:t></w:r></w:p><w:tbl><w:tblGrid><w:gridCol w:w="2200" w:type="dxa"/><w:gridCol w:w="2200" w:type="dxa"/></w:tblGrid><w:tblPr><w:tblW w:w="2500" w:type="auto"/><w:tblBorders><w:top w:val="single" w:sz="0" w:color="FFFFFF"/><w:left w:val="single" w:sz="0" w:color="FFFFFF"/><w:right w:val="single" w:sz="0" w:color="FFFFFF"/><w:bottom w:val="single" w:sz="0" w:color="FFFFFF"/><w:insideH w:val="single" w:sz="0" w:color="FFFFFF"/><w:insideV w:val="single" w:sz="0" w:color="FFFFFF"/></w:tblBorders></w:tblPr><w:tr><w:trPr><w:trHeight w:val="250" w:hRule="atLeast"/></w:trPr><w:tc><w:tcPr><w:tcW w:w="2200" w:type="dxa"/></w:tcPr><w:p><w:pPr/><w:r><w:rPr/><w:t xml:space="preserve">Wykład: </w:t></w:r></w:p></w:tc><w:tc><w:tcPr><w:tcW w:w="2200" w:type="dxa"/></w:tcPr><w:p><w:pPr/><w:r><w:rPr/><w:t xml:space="preserve">30h</w:t></w:r></w:p></w:tc></w:tr><w:tr><w:trPr><w:trHeight w:val="250" w:hRule="atLeast"/></w:trPr><w:tc><w:tcPr><w:tcW w:w="2200" w:type="dxa"/></w:tcPr><w:p><w:pPr/><w:r><w:rPr/><w:t xml:space="preserve">Ćwiczenia: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Laboratorium: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Projekt: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Lekcje komputerowe: </w:t></w:r></w:p></w:tc><w:tc><w:tcPr><w:tcW w:w="2200" w:type="dxa"/></w:tcPr><w:p><w:pPr/><w:r><w:rPr/><w:t xml:space="preserve">0h</w:t></w:r></w:p></w:tc></w:tr></w:tbl><w:p/><w:p><w:pPr><w:keepNext w:val="1"/><w:spacing w:after="10"/></w:pPr><w:r><w:rPr><w:b/><w:bCs/></w:rPr><w:t xml:space="preserve">Wymagania wstępne: </w:t></w:r></w:p><w:p><w:pPr><w:spacing w:before="20" w:after="190"/></w:pPr><w:r><w:rPr/><w:t xml:space="preserve">Nie dotyczy</w:t></w:r></w:p><w:p><w:pPr><w:keepNext w:val="1"/><w:spacing w:after="10"/></w:pPr><w:r><w:rPr><w:b/><w:bCs/></w:rPr><w:t xml:space="preserve">Limit liczby studentów: </w:t></w:r></w:p><w:p><w:pPr><w:spacing w:before="20" w:after="190"/></w:pPr><w:r><w:rPr/><w:t xml:space="preserve">cały rok</w:t></w:r></w:p><w:p><w:pPr><w:keepNext w:val="1"/><w:spacing w:after="10"/></w:pPr><w:r><w:rPr><w:b/><w:bCs/></w:rPr><w:t xml:space="preserve">Cel przedmiotu: </w:t></w:r></w:p><w:p><w:pPr><w:spacing w:before="20" w:after="190"/></w:pPr><w:r><w:rPr/><w:t xml:space="preserve">Poznanie podstawowych orzeczeń Trybunału Sprawiedliwości UE dot. wydatkowania funduszy UE</w:t></w:r></w:p><w:p><w:pPr><w:keepNext w:val="1"/><w:spacing w:after="10"/></w:pPr><w:r><w:rPr><w:b/><w:bCs/></w:rPr><w:t xml:space="preserve">Treści kształcenia: </w:t></w:r></w:p><w:p><w:pPr><w:spacing w:before="20" w:after="190"/></w:pPr><w:r><w:rPr/><w:t xml:space="preserve">Elementy definicyjne pojęcia nieprawidłowości (wyrok Trybunału Sprawiedliwości z 26.05.2016 r. w połączonych sprawach C-260/14 i C-261/14, Județul Neamț i Județul Bacău przeciwko Ministerul Dezvoltării Regionale și Administrației Publice); Odzyskiwanie funduszy UE wydatkowanych przez jednostki w wyniku nieprawidłowości (wyrok Trybunału Sprawiedliwości z 18.12.2014 r., C599/13, Somalische Vereniging Amsterdam en Omgeving (Somvao) przeciwko Staatssecretaris van Veiligheid en Justitie);  Zwrot płatności rolno-środowiskowych ze względu na naruszenie przesłanki jej przyznania (wyrok Trybunału Sprawiedliwości z 26.05.2016 r., C-273/15, ZS „Ezernieki” przeciwko Lauku atbalsta dienests); Możliwość odstąpienia przez państwo członkowskie od odzyskiwania funduszy UE wydatkowanych w wyniku nieprawidłowości (wyrok Trybunału Sprawiedliwości z 13.03.2008 r., C-383/06 do C-385/06, Vereniging Nationaal Overlegorgaan Sociale Werkvoorziening); Kary administracyjne nakładane przez organy krajowe na podmioty uzyskujące fundusze UE w wyniku nieprawidłowości (wyrok Trybunału Sprawiedliwości z 28.10.2010 r., C-367/09, Belgisch Interventie- en Restitutiebureau przeciwko SGS Belgium NV i innym); Stosowanie z mocą wsteczną kary łagodniejszej w sprawach dotyczących nieprawidłowego wydatkowania funduszy UE (wyroku Trybunału Sprawiedliwości z 1.07.2004 r., C-295/02, Gisela Gerken przeciwko Amt für Agrarstruktur Verden); Przedawnienie nieprawidłowości naruszających interesy finansowe UE (Trybunału Sprawiedliwości z 1.05.2011 r., C-201–202/10, Ze Fu Fleischhandel GmbH i Vion Trading GmbH przeciwko Hauptzollamt Hamburg-Jonas); Kontrole wydatkowania funduszy UE prowadzone przez organy krajowe (wyrok Trybunału Sprawiedliwości z 7.08.2018 r., C-59/17, Château du Grand Bois przeciwko Etablissement national des produits de l’agriculture et de la mer (FranceAgriMer); Kontrole funduszy UE prowadzone przez Europejski Urząd do spraw Zwalczania Nadużyć Finansowych (OLAF) (wyrok Trybunału Sprawiedliwości z 15.12.2011 r., C-409/10, Hauptzollamt Hamburg-Hafen przeciwko Afasia Knits Deutschland GmbH; Stosowanie Karty Praw Podstawowych Unii Europejskiej w postępowaniach dotyczących funduszy Unii Europejskiej (wyrok Trybunału Sprawiedliwości z 3.07.2014 r., sprawy połączone C-129/13 i C-130/13, Kamino International Logistics BV i Datema Hellmann Worldwide Logistics BV przeciwko Staatssecretaris van Financiën)</w:t></w:r></w:p><w:p><w:pPr><w:keepNext w:val="1"/><w:spacing w:after="10"/></w:pPr><w:r><w:rPr><w:b/><w:bCs/></w:rPr><w:t xml:space="preserve">Metody oceny: </w:t></w:r></w:p><w:p><w:pPr><w:spacing w:before="20" w:after="190"/></w:pPr><w:r><w:rPr/><w:t xml:space="preserve">Podstawą oceny są: obecność na zajęciach(dopuszczalne są dwie nieobecności), oddawanie prac pisemnych opracowywanych na zajęciach przez studentów indywidualnie lub grupowo oraz wynik z kolokwium końcowego. Kolokwium końcowe składa się z części testowej (pytanie jednokrotnego wyboru) oraz części opisowej</w:t></w:r></w:p><w:p><w:pPr><w:keepNext w:val="1"/><w:spacing w:after="10"/></w:pPr><w:r><w:rPr><w:b/><w:bCs/></w:rPr><w:t xml:space="preserve">Egzamin: </w:t></w:r></w:p><w:p><w:pPr><w:spacing w:before="20" w:after="190"/></w:pPr><w:r><w:rPr/><w:t xml:space="preserve">nie</w:t></w:r></w:p><w:p><w:pPr><w:keepNext w:val="1"/><w:spacing w:after="10"/></w:pPr><w:r><w:rPr><w:b/><w:bCs/></w:rPr><w:t xml:space="preserve">Literatura: </w:t></w:r></w:p><w:p><w:pPr><w:spacing w:before="20" w:after="190"/></w:pPr><w:r><w:rPr/><w:t xml:space="preserve">1. Dubel P., Polityka regionalna i fundusze strukturalne w praktyce, Warszawa 2012.
2. Kornberger-Sokołowska E. (red.), Jednostki samorządu terytorialnego jako beneficjenci środków europejskich,  Warszawa 2012.
3. Sierak J., Górniak R. Ocena efektywności i finansowanie projektów inwestycyjnych
jednostek samorządu terytorialnego współfinansowanych funduszami UE. 
Warszawa 2011.
4. Ładasz J., Polityka strukturalna Polski i Unii Europejskiej, 2008.
5. Rozporządzenie Rady (WE, EURATOM) nr 2988/95 z 18.12.1995 r. w sprawie ochrony interesów finansowych Wspólnot Europejskich (Dz.Urz. WE L 312, s. 1)
6. cykl artykułów „Kamienie milowe orzecznictwa UE. Fundusze UE”, Europejski Przegląd Sądowy 2018 (czasopismo dostępne m.in. w BUW)</w:t></w:r></w:p><w:p><w:pPr><w:keepNext w:val="1"/><w:spacing w:after="10"/></w:pPr><w:r><w:rPr><w:b/><w:bCs/></w:rPr><w:t xml:space="preserve">Witryna www przedmiotu: </w:t></w:r></w:p><w:p><w:pPr><w:spacing w:before="20" w:after="190"/></w:pPr><w:r><w:rPr/><w:t xml:space="preserve">nie dotyczy</w:t></w:r></w:p><w:p><w:pPr><w:keepNext w:val="1"/><w:spacing w:after="10"/></w:pPr><w:r><w:rPr><w:b/><w:bCs/></w:rPr><w:t xml:space="preserve">Uwagi: </w:t></w:r></w:p><w:p><w:pPr><w:spacing w:before="20" w:after="190"/></w:pPr><w:r><w:rPr/><w:t xml:space="preserve">do uzupełnienia</w:t></w:r></w:p><w:p><w:pPr><w:pStyle w:val="Heading2"/></w:pPr><w:bookmarkStart w:id="1" w:name="_Toc1"/><w:r><w:t>Charakterystyki przedmiotowe</w:t></w:r><w:bookmarkEnd w:id="1"/></w:p><w:p><w:pPr><w:pStyle w:val="Heading3"/></w:pPr><w:bookmarkStart w:id="2" w:name="_Toc2"/><w:r><w:t>Profil ogólnoakademicki - wiedza</w:t></w:r><w:bookmarkEnd w:id="2"/></w:p><w:p><w:pPr><w:keepNext w:val="1"/><w:spacing w:after="10"/></w:pPr><w:r><w:rPr><w:b/><w:bCs/></w:rPr><w:t xml:space="preserve">Charakterystyka W_01: </w:t></w:r></w:p><w:p><w:pPr/><w:r><w:rPr/><w:t xml:space="preserve">Student zna i rozumie rolę aktów prawa wtórnego dotyczących funduszy UE i znaczenia instytucji UE (głównie Komisji i TSUE) w obszarze ich wydatkowania. 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końcowe.</w:t></w:r></w:p><w:p><w:pPr><w:spacing w:before="20" w:after="190"/></w:pPr><w:r><w:rPr><w:b/><w:bCs/></w:rPr><w:t xml:space="preserve">Powiązane charakterystyki kierunkowe: </w:t></w:r><w:r><w:rPr/><w:t xml:space="preserve">K_W04, K_W06</w:t></w:r></w:p><w:p><w:pPr><w:spacing w:before="20" w:after="190"/></w:pPr><w:r><w:rPr><w:b/><w:bCs/></w:rPr><w:t xml:space="preserve">Powiązane charakterystyki obszarowe: </w:t></w:r><w:r><w:rPr/><w:t xml:space="preserve">I.P7S_WG, II.X.P7S_WG.1.o, II.S.P7S_WG.1, II.H.P7S_WG.2</w:t></w:r></w:p><w:p><w:pPr><w:keepNext w:val="1"/><w:spacing w:after="10"/></w:pPr><w:r><w:rPr><w:b/><w:bCs/></w:rPr><w:t xml:space="preserve">Charakterystyka W_02: </w:t></w:r></w:p><w:p><w:pPr/><w:r><w:rPr/><w:t xml:space="preserve">Student zna podstawowe programy finansowane z funduszy UE realizowane w ramach wdrażania polityk UE (głównie Wspólnej Polityki Rolnej i polityki spójności)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K_W01, K_W03</w:t></w:r></w:p><w:p><w:pPr><w:spacing w:before="20" w:after="190"/></w:pPr><w:r><w:rPr><w:b/><w:bCs/></w:rPr><w:t xml:space="preserve">Powiązane charakterystyki obszarowe: </w:t></w:r><w:r><w:rPr/><w:t xml:space="preserve">II.S.P7S_WG.2, II.H.P7S_WG.1.o, I.P7S_WK, II.X.P7S_WG.1.o, II.S.P7S_WG.1, II.H.P7S_WG.2, I.P7S_WG</w:t></w:r></w:p><w:p><w:pPr><w:keepNext w:val="1"/><w:spacing w:after="10"/></w:pPr><w:r><w:rPr><w:b/><w:bCs/></w:rPr><w:t xml:space="preserve">Charakterystyka W_03: </w:t></w:r></w:p><w:p><w:pPr/><w:r><w:rPr/><w:t xml:space="preserve">Student zna działania niezbędne przy pozyskiwaniu, realizowaniu i rozliczaniu  projektu finansowanego z funduszy UE 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K_W04</w:t></w:r></w:p><w:p><w:pPr><w:spacing w:before="20" w:after="190"/></w:pPr><w:r><w:rPr><w:b/><w:bCs/></w:rPr><w:t xml:space="preserve">Powiązane charakterystyki obszarowe: </w:t></w:r><w:r><w:rPr/><w:t xml:space="preserve">I.P7S_WG, II.X.P7S_WG.1.o, II.S.P7S_WG.1, II.H.P7S_WG.2</w:t></w:r></w:p><w:p><w:pPr><w:pStyle w:val="Heading3"/></w:pPr><w:bookmarkStart w:id="3" w:name="_Toc3"/><w:r><w:t>Profil ogólnoakademicki - umiejętności</w:t></w:r><w:bookmarkEnd w:id="3"/></w:p><w:p><w:pPr><w:keepNext w:val="1"/><w:spacing w:after="10"/></w:pPr><w:r><w:rPr><w:b/><w:bCs/></w:rPr><w:t xml:space="preserve">Charakterystyka U_01: </w:t></w:r></w:p><w:p><w:pPr/><w:r><w:rPr/><w:t xml:space="preserve">Student potrafi poszukiwać ich i zna podstawowe zasady związane z wydatkowaniem funduszy UE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K_U04</w:t></w:r></w:p><w:p><w:pPr><w:spacing w:before="20" w:after="190"/></w:pPr><w:r><w:rPr><w:b/><w:bCs/></w:rPr><w:t xml:space="preserve">Powiązane charakterystyki obszarowe: </w:t></w:r><w:r><w:rPr/><w:t xml:space="preserve">I.P7S_UW, II.X.P7S_UW.2, II.S.P7S_UW.1, II.S.P7S_UW.2.o, II.S.P7S_UW.3.o, II.H.P7S_UW.1, II.H.P7S_UW.2.o</w:t></w:r></w:p><w:p><w:pPr><w:keepNext w:val="1"/><w:spacing w:after="10"/></w:pPr><w:r><w:rPr><w:b/><w:bCs/></w:rPr><w:t xml:space="preserve">Charakterystyka U_02: </w:t></w:r></w:p><w:p><w:pPr/><w:r><w:rPr/><w:t xml:space="preserve">Student potrafi wyjaśnić podstawowe zasady  prawidłowego planowania i wdrażania
projektów finansowanych z funduszy UE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K_U06</w:t></w:r></w:p><w:p><w:pPr><w:spacing w:before="20" w:after="190"/></w:pPr><w:r><w:rPr><w:b/><w:bCs/></w:rPr><w:t xml:space="preserve">Powiązane charakterystyki obszarowe: </w:t></w:r><w:r><w:rPr/><w:t xml:space="preserve">I.P7S_UW, I.P7S_UK, II.X.P7S_UW.3.o, II.S.P7S_UW.1, II.S.P7S_UW.2.o, II.S.P7S_UW.3.o, II.H.P7S_UW.1</w:t></w:r></w:p><w:p><w:pPr><w:keepNext w:val="1"/><w:spacing w:after="10"/></w:pPr><w:r><w:rPr><w:b/><w:bCs/></w:rPr><w:t xml:space="preserve">Charakterystyka U_03: </w:t></w:r></w:p><w:p><w:pPr/><w:r><w:rPr/><w:t xml:space="preserve">Student potrafi zidentyfikować praktyczne przypadki nieprawidłowego wydatkowania funduszy UE i określić związane z tym konsekwencje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K_U10</w:t></w:r></w:p><w:p><w:pPr><w:spacing w:before="20" w:after="190"/></w:pPr><w:r><w:rPr><w:b/><w:bCs/></w:rPr><w:t xml:space="preserve">Powiązane charakterystyki obszarowe: </w:t></w:r><w:r><w:rPr/><w:t xml:space="preserve">I.P7S_UO</w:t></w:r></w:p><w:p><w:pPr><w:pStyle w:val="Heading3"/></w:pPr><w:bookmarkStart w:id="4" w:name="_Toc4"/><w:r><w:t>Profil ogólnoakademicki - kompetencje społeczne</w:t></w:r><w:bookmarkEnd w:id="4"/></w:p><w:p><w:pPr><w:keepNext w:val="1"/><w:spacing w:after="10"/></w:pPr><w:r><w:rPr><w:b/><w:bCs/></w:rPr><w:t xml:space="preserve">Charakterystyka K_01: </w:t></w:r></w:p><w:p><w:pPr/><w:r><w:rPr/><w:t xml:space="preserve">Student potrafi zdobywać wiedzę na temat najnowszych osiągnięć informatycznych w zakresie funduszy UE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K_K07</w:t></w:r></w:p><w:p><w:pPr><w:spacing w:before="20" w:after="190"/></w:pPr><w:r><w:rPr><w:b/><w:bCs/></w:rPr><w:t xml:space="preserve">Powiązane charakterystyki obszarowe: </w:t></w:r><w:r><w:rPr/><w:t xml:space="preserve">I.P7S_KK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2024-05-17T10:35:45+02:00</dcterms:created>
  <dcterms:modified xsi:type="dcterms:W3CDTF">2024-05-17T10:35:45+02:00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