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Nowoczesne tworzywa ceramiczne/ Modern Ceramic Materials</w:t>
      </w:r>
    </w:p>
    <w:p>
      <w:pPr>
        <w:keepNext w:val="1"/>
        <w:spacing w:after="10"/>
      </w:pPr>
      <w:r>
        <w:rPr>
          <w:b/>
          <w:bCs/>
        </w:rPr>
        <w:t xml:space="preserve">Koordynator przedmiotu: </w:t>
      </w:r>
    </w:p>
    <w:p>
      <w:pPr>
        <w:spacing w:before="20" w:after="190"/>
      </w:pPr>
      <w:r>
        <w:rPr/>
        <w:t xml:space="preserve">prof. dr hab. inż. Andrzej Olszyna, dr inż Marek Kostecki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NMC</w:t>
      </w:r>
    </w:p>
    <w:p>
      <w:pPr>
        <w:keepNext w:val="1"/>
        <w:spacing w:after="10"/>
      </w:pPr>
      <w:r>
        <w:rPr>
          <w:b/>
          <w:bCs/>
        </w:rPr>
        <w:t xml:space="preserve">Semestr nominalny: </w:t>
      </w:r>
    </w:p>
    <w:p>
      <w:pPr>
        <w:spacing w:before="20" w:after="190"/>
      </w:pPr>
      <w:r>
        <w:rPr/>
        <w:t xml:space="preserve">7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- 30 godzin, 20 godziny na krytyczną analizę literatury. Konsultacje przygotowujące do zaliczenia 1 godz. Razem 51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- 30 godzin, konsultacje przygotowujące do zaliczenia 5 godz. Razem 35 godzin = 1,2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wykład i ćwiczenia  pt. Materiały Ceramiczne i metody ich otrzymywania.  Zalecane przedmioty poprzedzające: Chemia, fizyka ciała stałego, mechanika.
</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Zapoznanie studentów ze szczególnymi właściwościami tworzyw ceramicznych wykorzystywanych w nowoczesnych aplikacjach. </w:t>
      </w:r>
    </w:p>
    <w:p>
      <w:pPr>
        <w:keepNext w:val="1"/>
        <w:spacing w:after="10"/>
      </w:pPr>
      <w:r>
        <w:rPr>
          <w:b/>
          <w:bCs/>
        </w:rPr>
        <w:t xml:space="preserve">Treści kształcenia: </w:t>
      </w:r>
    </w:p>
    <w:p>
      <w:pPr>
        <w:spacing w:before="20" w:after="190"/>
      </w:pPr>
      <w:r>
        <w:rPr/>
        <w:t xml:space="preserve">Synteza proszków ceramicznych, charakterystyka mikrostruktury tworzyw ceramicznych w stanie nie spieczonym oraz spieku, specyficzne właściwości nanokompozytów ceramicznych, supertwarde materiały ceramiczne. Zajęcia zostały przygotowane i będą prowadzone z wykorzystaniem kompetencji i umiejętności z zakresu wyszukiwania i weryfikacji informacji, komunikacji, prezentacji informacji, dystrybucji zarządzania informacją</w:t>
      </w:r>
    </w:p>
    <w:p>
      <w:pPr>
        <w:keepNext w:val="1"/>
        <w:spacing w:after="10"/>
      </w:pPr>
      <w:r>
        <w:rPr>
          <w:b/>
          <w:bCs/>
        </w:rPr>
        <w:t xml:space="preserve">Metody oceny: </w:t>
      </w:r>
    </w:p>
    <w:p>
      <w:pPr>
        <w:spacing w:before="20" w:after="190"/>
      </w:pPr>
      <w:r>
        <w:rPr/>
        <w:t xml:space="preserve">Kolokwium, ocena zadań (prezentacji) wykonanych przez studenta.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Pampuch, K. Hajerko, M. Kordek, Nauka o procesach ceramicznych, PWN Warszawa, 1992.
2. J. Lis, R. Pampuch, Spiekanie, Wyd. Kraków, 2000.
3. A. R. Olszyna, Ceramika supertwarda, Wyd. PW, Warszawa 2000.
4. A. R. Olszyna, Twardość a kruchość materiałów ceramicznych, Wyd. PW, Warszawa, 2004.</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Zajęcia zostały przygotowane i będą prowadzone z wykorzystaniem umiejętności dydaktycznych nabytych w trakcie „ Kursu podnoszącego kompetencje w zakresie zarządzania informacją” realizowanego w ramach projektu „Kompetentny wykładowca – wysoki poziom nauczania” na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NMC_W1: </w:t>
      </w:r>
    </w:p>
    <w:p>
      <w:pPr/>
      <w:r>
        <w:rPr/>
        <w:t xml:space="preserve">Student dysponuje wiedzą na temat: syntezy proszków ceramicznych, charakterystyki mikrostruktury nowoczesnych inżynierskich tworzyw ceramicznych w stanie nie spieczonym oraz  spieku,  specyficznych  właściwości  nanokompozytów ceramicznych oraz supertwardych materiałów ceramicznych.</w:t>
      </w:r>
    </w:p>
    <w:p>
      <w:pPr>
        <w:spacing w:before="60"/>
      </w:pPr>
      <w:r>
        <w:rPr/>
        <w:t xml:space="preserve">Weryfikacja: </w:t>
      </w:r>
    </w:p>
    <w:p>
      <w:pPr>
        <w:spacing w:before="20" w:after="190"/>
      </w:pPr>
      <w:r>
        <w:rPr/>
        <w:t xml:space="preserve">zaliczenie/kolokwium</w:t>
      </w:r>
    </w:p>
    <w:p>
      <w:pPr>
        <w:spacing w:before="20" w:after="190"/>
      </w:pPr>
      <w:r>
        <w:rPr>
          <w:b/>
          <w:bCs/>
        </w:rPr>
        <w:t xml:space="preserve">Powiązane charakterystyki kierunkowe: </w:t>
      </w:r>
      <w:r>
        <w:rPr/>
        <w:t xml:space="preserve">IM1_W03, IM1_W05, IM1_W07, IM1_W20</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NMC_U1: </w:t>
      </w:r>
    </w:p>
    <w:p>
      <w:pPr/>
      <w:r>
        <w:rPr/>
        <w:t xml:space="preserve">Student potrafi przygotować rozwiązać - w formie prezentacji – zadanie związane z wyborem optymalnego procesu wytwarzania określonej grupy materiałów ceramicznych, poprawnie charakteryzuje skład chemiczny oraz fazowy nowoczesnych inżynierskich tworzyw ceramicznych, potrafi dobrać materiał ceramiczny wg. specyficznych właściwości dla określonego zastosowania. Przy przygotowywaniu prezentacji wykorzystuje technologie informacyjno-komunikacyjne. Rozwija swoją wiedzę na podstawie przeprowadzonych badań fachowej literatury.</w:t>
      </w:r>
    </w:p>
    <w:p>
      <w:pPr>
        <w:spacing w:before="60"/>
      </w:pPr>
      <w:r>
        <w:rPr/>
        <w:t xml:space="preserve">Weryfikacja: </w:t>
      </w:r>
    </w:p>
    <w:p>
      <w:pPr>
        <w:spacing w:before="20" w:after="190"/>
      </w:pPr>
      <w:r>
        <w:rPr/>
        <w:t xml:space="preserve">Ocena prezentacji referatu, aktywności na zajęciach.</w:t>
      </w:r>
    </w:p>
    <w:p>
      <w:pPr>
        <w:spacing w:before="20" w:after="190"/>
      </w:pPr>
      <w:r>
        <w:rPr>
          <w:b/>
          <w:bCs/>
        </w:rPr>
        <w:t xml:space="preserve">Powiązane charakterystyki kierunkowe: </w:t>
      </w:r>
      <w:r>
        <w:rPr/>
        <w:t xml:space="preserve">IM1_U07, IM1_U13, IM1_U01, IM1_U03, IM1_U05</w:t>
      </w:r>
    </w:p>
    <w:p>
      <w:pPr>
        <w:spacing w:before="20" w:after="190"/>
      </w:pPr>
      <w:r>
        <w:rPr>
          <w:b/>
          <w:bCs/>
        </w:rPr>
        <w:t xml:space="preserve">Powiązane charakterystyki obszarowe: </w:t>
      </w:r>
      <w:r>
        <w:rPr/>
        <w:t xml:space="preserve">III.P6S_UW.2.o, I.P6S_UW, III.P6S_UW.1.o, III.P6S_UW.3.o, I.P6S_UK, I.P6S_UU</w:t>
      </w:r>
    </w:p>
    <w:p>
      <w:pPr>
        <w:pStyle w:val="Heading3"/>
      </w:pPr>
      <w:bookmarkStart w:id="4" w:name="_Toc4"/>
      <w:r>
        <w:t>Profil ogólnoakademicki - kompetencje społeczne</w:t>
      </w:r>
      <w:bookmarkEnd w:id="4"/>
    </w:p>
    <w:p>
      <w:pPr>
        <w:keepNext w:val="1"/>
        <w:spacing w:after="10"/>
      </w:pPr>
      <w:r>
        <w:rPr>
          <w:b/>
          <w:bCs/>
        </w:rPr>
        <w:t xml:space="preserve">Charakterystyka NMC_K1: </w:t>
      </w:r>
    </w:p>
    <w:p>
      <w:pPr/>
      <w:r>
        <w:rPr/>
        <w:t xml:space="preserve">Rozumie potrzebę uczenia się przez   całe życie; potrafi inspirować  i organizować proces uczenia się innych osób  ma świadomość ważności i rozumie   pozatechniczne aspekty i skutki  działalności inżynierskiej w tym jej wpływu   na środowisko i  związanej z tym odpowiedzialności za podejmowane decyzje.</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charakterystyki kierunkowe: </w:t>
      </w:r>
      <w:r>
        <w:rPr/>
        <w:t xml:space="preserve">IM1_K01, IM1_K02</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2026-10-10T07:54:18+02:00</dcterms:created>
  <dcterms:modified xsi:type="dcterms:W3CDTF">2026-10-10T07:54:18+02:00</dcterms:modified>
</cp:coreProperties>
</file>

<file path=docProps/custom.xml><?xml version="1.0" encoding="utf-8"?>
<Properties xmlns="http://schemas.openxmlformats.org/officeDocument/2006/custom-properties" xmlns:vt="http://schemas.openxmlformats.org/officeDocument/2006/docPropsVTypes"/>
</file>