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Banasiński Cezary, Glibowski Krzysztof, Gronkiewicz-Waltz Hanna, "Prawo gospodarcze. Zagadnienia administracyjnoprawne", Warszawa 2011. 
2. J. Sieńczyło- Chlabicz, E. Bieniek-Koronkiewicz "Podejmowanie i wykonywanie działalności gospodarczej", Warszawa 2002. 
3. K. Klecha "Wolność działalności gospodarczej w konstytucji RP".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charakterystyki kierunkowe: </w:t>
      </w:r>
      <w:r>
        <w:rPr/>
        <w:t xml:space="preserve">IM1_U01, IM1_U02, IM1_U05</w:t>
      </w:r>
    </w:p>
    <w:p>
      <w:pPr>
        <w:spacing w:before="20" w:after="190"/>
      </w:pPr>
      <w:r>
        <w:rPr>
          <w:b/>
          <w:bCs/>
        </w:rPr>
        <w:t xml:space="preserve">Powiązane charakterystyki obszarowe: </w:t>
      </w:r>
      <w:r>
        <w:rPr/>
        <w:t xml:space="preserve">I.P6S_UW, I.P6S_UK, I.P6S_UU</w:t>
      </w:r>
    </w:p>
    <w:p>
      <w:pPr>
        <w:pStyle w:val="Heading3"/>
      </w:pPr>
      <w:bookmarkStart w:id="4" w:name="_Toc4"/>
      <w:r>
        <w:t>Profil ogólnoakademicki - kompetencje społeczne</w:t>
      </w:r>
      <w:bookmarkEnd w:id="4"/>
    </w:p>
    <w:p>
      <w:pPr>
        <w:keepNext w:val="1"/>
        <w:spacing w:after="10"/>
      </w:pPr>
      <w:r>
        <w:rPr>
          <w:b/>
          <w:bCs/>
        </w:rPr>
        <w:t xml:space="preserve">Charakterystyka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IM1_K04, IM1_K06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2026-10-10T13:40:20+02:00</dcterms:created>
  <dcterms:modified xsi:type="dcterms:W3CDTF">2026-10-10T13:40:20+02:00</dcterms:modified>
</cp:coreProperties>
</file>

<file path=docProps/custom.xml><?xml version="1.0" encoding="utf-8"?>
<Properties xmlns="http://schemas.openxmlformats.org/officeDocument/2006/custom-properties" xmlns:vt="http://schemas.openxmlformats.org/officeDocument/2006/docPropsVTypes"/>
</file>