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- na zajęcia wymagające bezpośrednio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- na pracę studenta związaną z opanowaniem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prztwórstwo, Kompozyty i techniki ich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ZMBMP_W1: </w:t>
      </w:r>
    </w:p>
    <w:p>
      <w:pPr/>
      <w:r>
        <w:rPr/>
        <w:t xml:space="preserve">Ma wiedzę dotyczącą zaawansowanych metod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ZMBMP_U1: </w:t>
      </w:r>
    </w:p>
    <w:p>
      <w:pPr/>
      <w:r>
        <w:rPr/>
        <w:t xml:space="preserve">Posiada umiejętność badania wybranych cech użytkowych polimerów oraz analizy termicznej polimerów. Potrafi analizować wyniki badań uzyskane z zastosowaniem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IM2_U03, IM2_U05, IM2_U08, IM2_U09, IM2_U10, IM2_U12, IM2_U13, IM2_U19,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ZMBMP_K1: </w:t>
      </w:r>
    </w:p>
    <w:p>
      <w:pPr/>
      <w:r>
        <w:rPr/>
        <w:t xml:space="preserve"> 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2026-10-09T05:16:03+02:00</dcterms:created>
  <dcterms:modified xsi:type="dcterms:W3CDTF">2026-10-09T05:16:03+02:00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