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hab. inż.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The course will be 15 hours in total and will consist of 7 hours of lectures, 7 hours of practical training labs, and one hour for final exam from the lectures.</w:t>
      </w:r>
    </w:p>
    <w:p>
      <w:pPr>
        <w:keepNext w:val="1"/>
        <w:spacing w:after="10"/>
      </w:pPr>
      <w:r>
        <w:rPr>
          <w:b/>
          <w:bCs/>
        </w:rPr>
        <w:t xml:space="preserve">Liczba punktów ECTS na zajęciach wymagających bezpośredniego udziału nauczycieli akademickich: </w:t>
      </w:r>
    </w:p>
    <w:p>
      <w:pPr>
        <w:spacing w:before="20" w:after="190"/>
      </w:pPr>
      <w:r>
        <w:rPr/>
        <w:t xml:space="preserve">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
</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2026-10-09T23:40:35+02:00</dcterms:created>
  <dcterms:modified xsi:type="dcterms:W3CDTF">2026-10-09T23:40:35+02:00</dcterms:modified>
</cp:coreProperties>
</file>

<file path=docProps/custom.xml><?xml version="1.0" encoding="utf-8"?>
<Properties xmlns="http://schemas.openxmlformats.org/officeDocument/2006/custom-properties" xmlns:vt="http://schemas.openxmlformats.org/officeDocument/2006/docPropsVTypes"/>
</file>