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GP.SMK231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udział w wykładach - 30 godz., 
b) konsultacje: 5 godz.
2. Praca własna studenta – 23 godzin, w tym:
a) przygotowanie do zaliczenia i obecność na zaliczeniu - 13 godz. 
b) przygotowanie do zajęć, studiowanie literatury - 10 godz. 
Łączny nakład pracy studenta wynosi 58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udział w wykładach - 30 godz., 
b)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GP.SMK231_W1: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GP.SMK231_W4: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GP.SMK231_U1: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GP.SMK231_K1: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GP.SMK231_K3: </w:t>
      </w:r>
    </w:p>
    <w:p>
      <w:pPr/>
      <w:r>
        <w:rPr/>
        <w:t xml:space="preserve">Potrafi ocenić wpływ wielokierunkowych skutków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GP.SMK231_K4: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2026-10-10T09:27:03+02:00</dcterms:created>
  <dcterms:modified xsi:type="dcterms:W3CDTF">2026-10-10T09:27:03+02:00</dcterms:modified>
</cp:coreProperties>
</file>

<file path=docProps/custom.xml><?xml version="1.0" encoding="utf-8"?>
<Properties xmlns="http://schemas.openxmlformats.org/officeDocument/2006/custom-properties" xmlns:vt="http://schemas.openxmlformats.org/officeDocument/2006/docPropsVTypes"/>
</file>