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GP.SMS288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udział w wykładach - 30 godz.,
b) udział w konsultacjach - 5 godz.
2) Praca własna studenta - 15 godzin, w tym:
a) zapoznanie się z literaturą - 5 godz.
b) przygotowanie uchwały planu miejscowego -10 godz.
Łącznie nakład pracy studenta wynosi 50 godzin,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godzin, w tym:
a) udział w wykładach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punktu ECTS - 10 godziny, w tym:
a) przygotowanie uchwały planu miejscowego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Zaliczenie w formie pisemnej - wykonanie pracy praktycznej: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GP.NMK206_W3</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T2A_W10, T2A_W08</w:t>
      </w:r>
    </w:p>
    <w:p>
      <w:pPr>
        <w:pStyle w:val="Heading3"/>
      </w:pPr>
      <w:bookmarkStart w:id="3" w:name="_Toc3"/>
      <w:r>
        <w:t>Profil ogólnoakademicki - umiejętności</w:t>
      </w:r>
      <w:bookmarkEnd w:id="3"/>
    </w:p>
    <w:p>
      <w:pPr>
        <w:keepNext w:val="1"/>
        <w:spacing w:after="10"/>
      </w:pPr>
      <w:r>
        <w:rPr>
          <w:b/>
          <w:bCs/>
        </w:rPr>
        <w:t xml:space="preserve">Efekt Zaliczenie w formie pisemnej - wykonanie pracy praktycznej: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GP.NMK206_U2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Zaliczenie w formie pisemnej - wykonanie pracy praktycznej: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GP.NMK206_K1</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zaliczenie w formie pisemnej wykonanie pracy praktycznej: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GP.NMK206_K2</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2024-05-20T01:27:32+02:00</dcterms:created>
  <dcterms:modified xsi:type="dcterms:W3CDTF">2024-05-20T01:27:32+02:00</dcterms:modified>
</cp:coreProperties>
</file>

<file path=docProps/custom.xml><?xml version="1.0" encoding="utf-8"?>
<Properties xmlns="http://schemas.openxmlformats.org/officeDocument/2006/custom-properties" xmlns:vt="http://schemas.openxmlformats.org/officeDocument/2006/docPropsVTypes"/>
</file>