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Wilińska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wykładach jest zalecana. 
2.	Rejestrowanie dźwięku i obrazu przez studentów w trakcie zajęć jest zabronione. 
3.	Efekty uczenia się przypisane do wykładu będą weryfikowane podczas egzaminu pisemnego. 
4.	Warunkiem zaliczenia przedmiotu jest uzyskanie pozytywnej oceny z egzaminu pisemnego. 
5.	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 
6.	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	Prowadzący zajęcia umożliwia studentowi wgląd do jego ocenionych prac pisemnych do końca danego roku akademickiego po wcześniejszym uzgodnieniu terminu.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w zakresie ochrony środowiska, oceny źródeł i monitorowania zanieczyszczeń przemysłowych, podejmowania działań zapobiegających przedostawaniu się zanieczyszczeń do środowiska, stosowania przepisów prawnych z zakresu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W16: </w:t>
      </w:r>
    </w:p>
    <w:p>
      <w:pPr/>
      <w:r>
        <w:rPr/>
        <w:t xml:space="preserve">Ma niezbędną wiedzę do rozumienia społecznych, ekonomicznych, prawnych uwarunkowań działalności inżynierskiej oraz ich uwzględniania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K07: </w:t>
      </w:r>
    </w:p>
    <w:p>
      <w:pPr/>
      <w:r>
        <w:rPr/>
        <w:t xml:space="preserve">Ma świadomość ważności zachowania w sposób profesjonalny, przestrzegania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2024-05-19T23:33:27+02:00</dcterms:created>
  <dcterms:modified xsi:type="dcterms:W3CDTF">2024-05-19T23:33:27+02:00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