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Cezary Obczyński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WS2A_01_01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30h; Ćwiczenia 30h; Przygotowanie się do zajęć 10h; Zapoznanie się ze wskazaną literaturą 10h; Przygotowanie do zaliczenia 15h; Przygotowanie do kolokwium 15h; Przygotowanie do egzaminu 15h; Razem 125h = 5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- 30h; Ćwiczenia - 30h; Razem 60h = 2,4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Ćwiczenia: 15 - 30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zastosowaniem metod matematycznych równań  różniczkowych cząstkowych  do rozwiązywania typowych zagadnień inżynierskich. Wykształcenie umiejętności formułowania i rozwiązywania typowych zagadnień brzegowych i  brzegowo – początkowych w obszarze równań różniczkowych .Uzyskanie przez studenta wiedzy i umiejętności w zakresie  pojęć statystyki.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Równania różniczkowe cząstkowe rzędu pierwszego; W2 Klasyfikacja równań różniczkowych cząstkowe II rzędu: równania eliptyczne, paraboliczne, hiperboliczne; W3-5 Równanie hiperboliczne.-równanie drgań struny (swobodne i wymuszone). Metoda d’Alamberta dla struny nieograniczonej.   Metoda Fouriera dla drgań struny ograniczonej długości l zamocowanej na końcach. Równanie paraboliczne.  Zagadnienie przewodnictwa cieplnego w pręcie o długości l;  W6  Zmienna losowa, rozkład zmiennej losowej, dystrubuanta rozkładu, gęstość rozkładu. Parametry rozkładu zmiennej  losowej W7  Przykłady rozkładów zmiennej losowej;  W8   Nierówność Czebyszewa, prawa wielkich liczb, centralne twierdzenie graniczne; W9-10  Statystyka opisowa;  W11  Estymacja ;  W12-14  Weryfikacja hipotez statystycznych dla parametrów: wartości średniej, wariancji, odchylenia standardowego;  W15 Elementy analizy regresji.
 C1 Rozwiązywanie równań różniczkowych cząstkowych rzędu pierwszego;  C2-5 Rozwiązywanie zagadnień brzegowo – początkowych dla równań różniczkowych cząstkowych: eliptycznych, parabolicznych, hiperbolicznych;  C6 Powtórzenie materiału;  C7-8  Zmienna losowa i jej rozkład. Obliczanie parametrów rozkładu zmiennej losowej;  C9  Szacowanie prawdopodobieństwa z wykorzystaniem nierówności Czebyszewa, praw wielkich liczb i centralnego twierdzenia granicznego; C10 Obliczanie parametrów empirycznych z próby losowej; C11-12 Estymacja;  C13 Powtórzenie materiału; C14 Testowanie hipotez statystycznych;  C15  Elementy analizy regresji.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	Obecność na ćwiczeniach jest obowiązkowa. Dopuszczalne jest opuszczenie co najwyżej dwóch zajęć, które należy usprawiedliwić indywidualnie. W przypadku zwolnienia lekarskiego, liczba nieobecności na ćwiczeniach nie powinna przekroczyć  50% zajęć.  Obecność na wykładach jest zalecana.
2.	Efekty kształcenia przypisane do przedmiotu będą weryfikowane na dwóch kolokwiach, które odbędą się w czasie trwania ćwiczeń z przedmiotu, zapowiedzianych kartkówkach w czasie wykładów oraz egzaminu, w czasie sesji egzaminacyjnej.
3.	Zaliczenie przedmiotu uzyskuje student, który zdobył co najmniej 50% punktów z dwóch kolokwiów, które odbywają się  w czasie szóstego i dwunastego tygodnia zajęć w semestrze na ćwiczeniach. Za każde z kolokwiów student może uzyskać maksymalnie 20 punktów. W sumie, za kolokwia, student maksymalnie otrzymuje 40 punktów. W czasie wykładów, zostaną przeprowadzone zapowiedziane kartkówki z zagadnień teoretycznych. Za kartkówki student może uzyskać 20pkt. Do egzaminu ma prawo przystąpić każdy student. Egzamin, przeprowadzany jest w trakcie terminów podanych w harmonogramie sesji.  Zadania na egzaminie dotyczą wskazanych przez wykładowcę umiejętności oraz treści teoretycznych z wykładu i z ćwiczeń, które nie zostały zweryfikowane na kolokwiach. W sumie z punktami z kartkówek,  za egzamin student może uzyskać 60 punktów.  Kryterium oceny z egzaminu:  (0 - 50%] liczby punktów – ocena 2,0;  (50 - 60%] – ocena 3,0;  (60 - 70%] – ocena 3,5;  (70 - 80%] – ocena 4,0;  (80 - 90%] – ocena 4,5;  (90 - 100%] – ocena 5,0.  Do oceny końcowej punkty uzyskane z egzaminu są sumowane z punktami z zaliczenia. Ocena końcowa jest ustalona zgodnie z następującymi zasadami: (50-60]-ocena  3, ; (60-70]-ocena 3,5; (70-80]-ocena 4; (80-90]- ocena 4,5; (90-100] – ocena  5,0.   Osoby, które  uzyskały 20 i więcej punktów z dwóch kolokwiów do czternastego tygodnia zajęć, mogą przystąpić do terminu zerowego egzaminu, który odbywa się w czasie ostatniego tygodnia zajęć w semestrze.                                                                                                     
4.	Liczba punktów uzyskana z  kolokwium lub kartkówki przekazywana jest do wiadomości studentów niezwłocznie po sprawdzeniu prac i dokonaniu ich oceny (forma przekazywania ocen do ustalenia ze studentami w trakcie zajęć). Ocena z egzaminu i ocena końcowa z przedmiotu przekazywana jest do wiadomości studentów w formie uzgodnionej ze studentami. 
5.	Prowadzący ćwiczenia może przeprowadzić poprawę kolokwium, z którego maksymalnie student może uzyskać 15 pkt., w  dodatkowym terminie, ustalonym ze studentami. Każdy student ma  prawo do uczestnictwa w poprawie. Osoby, które nie uzyskały zaliczenia na podstawie odbytych kolokwiów, mogą się o nie starać, w ostatnim tygodniu zajęć w semestrze,  przystępując do kolokwium poprawkowego. To kolokwium obejmuje zakres wszystkich treści weryfikowanych na kolokwiach odbytych w semestrze i maksymalnie student może uzyskać 40 punktów za poprawne rozwiązania i odpowiedzi. Punkty uzyskane wcześniej nie sumują się z punktami uzyskanymi na ostatniej pracy kontrolnej. Kryteria zaliczenia jak wyżej. 
6.	Student, który uzyskał zaliczenie przedmiotu i niezadawalający wynik z egzaminu powtarza zajęcia wykładowe z przedmiotu. Student, który uzyskał zadawalający wynik z egzaminu i niezadawalający wynik z zaliczenia powtarza zajęcia ćwiczeniowe z przedmiotu. Student, który nie  uzyskał zaliczenia z przedmiotu i niezadawalający wynik z egzaminu powtarza całość przedmiotu.
7.	W czasie kolokwium i egzaminu można korzystać z kalkulatora, lecz nie w telefonie komórkowym. Telefony w czasie trwania pracy pisemnej należy wyłączyć. Zabronione jest również korzystanie z urządzeń elektronicznych. Materiały, z których mogą korzystać studenci w czasie prac kontrolnych, ustala prowadzący zajęcia.
8.	Jeżeli podczas weryfikacji osiągnięcia efektów uczenia się zostanie stwierdzona niesamodzielność pracy studenta lub korzystanie przez niego z materiałów lub urządzeń innych niż dozwolone w regulaminie przedmiotu, student uzyskuje ocenę niedostateczną i traci prawo do zaliczenia przedmiotu w jego bieżącej realizacji.
9.	Rejestrowanie dźwięku i obrazu przez studentów w trakcie zajęć, bez zgody prowadzącego,  jest zabronione.
10.	Prowadzący zajęcia umożliwia studentowi wgląd do jego ocenionych prac pisemnych do końca danego roku akademickiego w terminach konsultacji.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1.W. Żakowski, W. Leksiński, Matematyka, część IV z serii Podręczniki Akademickie eit, WNT; 2002. 
2.W.Stankiewicz, J. Wojtowicz, Zadania z matematyki dla wyższych uczelni technicznych, PWN, 1988. 
3.E. Kącki, L. Siewierski, Wybrane działy matematyki wyższej z ćwiczeniami, PWN, Warszawa 1985.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8 Programu NERW.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wiedzę w zakresie rozwiązywania równań różniczkowych cząstkowych. Zna podstawowe zastosowania równań różniczkowych cząstkowych II rzędu.Zna elementy statystyki. Zna modele do przedziałów ufności i testowania hipotez.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kolokwium(I w1 –w5,c1-5;II w 6-15,c9-14),odpowiedzi na zajęciach(c1-5,c7-15),prace domowe, egzamin(w1-15,c1-5,c7-15)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I.P7S_WG.o</w:t>
      </w:r>
    </w:p>
    <w:p>
      <w:pPr>
        <w:keepNext w:val="1"/>
        <w:spacing w:after="10"/>
      </w:pPr>
      <w:r>
        <w:rPr>
          <w:b/>
          <w:bCs/>
        </w:rPr>
        <w:t xml:space="preserve">Charakterystyka W09: </w:t>
      </w:r>
    </w:p>
    <w:p>
      <w:pPr/>
      <w:r>
        <w:rPr/>
        <w:t xml:space="preserve">Ma rozszerzoną i pogłębioną wiedzę w zakresie metod statystycznych przydatną do formułowania i rozwiązywania  zadań inżynierskich. Ma wiedzę w zakresie stosowania metod statystycznych, którą potrafi wykorzystać przy projektowaniu eksperymentu.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 6–W15, C6-C12),  prace domowe (C11-14),   egzamin (W6-W15, C6-C15)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U08: </w:t>
      </w:r>
    </w:p>
    <w:p>
      <w:pPr/>
      <w:r>
        <w:rPr/>
        <w:t xml:space="preserve">Potrafi dokonać analizy statystycznej badanego zjawiska oraz dokonać weryfikacji merytorycznej modelu statystycznego.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zachowań na zajęciach(C7-C15 ,C6-C15),prace domowe., kolokwium,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III.P7S_UW.o</w:t>
      </w:r>
    </w:p>
    <w:p>
      <w:pPr>
        <w:keepNext w:val="1"/>
        <w:spacing w:after="10"/>
      </w:pPr>
      <w:r>
        <w:rPr>
          <w:b/>
          <w:bCs/>
        </w:rPr>
        <w:t xml:space="preserve">Charakterystyka U14: </w:t>
      </w:r>
    </w:p>
    <w:p>
      <w:pPr/>
      <w:r>
        <w:rPr/>
        <w:t xml:space="preserve">Potrafi ocenić przydatność metod i narzędzi służących do rozwiązywania zadania inżynierskiego, charakterystycznego dla technologii chemicznej, w tym dostrzec ograniczenia tych metod i narzędzi.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III.P7S_UW.o</w:t>
      </w:r>
    </w:p>
    <w:p>
      <w:pPr>
        <w:keepNext w:val="1"/>
        <w:spacing w:after="10"/>
      </w:pPr>
      <w:r>
        <w:rPr>
          <w:b/>
          <w:bCs/>
        </w:rPr>
        <w:t xml:space="preserve">Charakterystyka U21: </w:t>
      </w:r>
    </w:p>
    <w:p>
      <w:pPr/>
      <w:r>
        <w:rPr/>
        <w:t xml:space="preserve">Potrafi ocenić przydatność metod i narzędzi służących do rozwiązywania zadania inżynierskiego, charakterystycznego dla technologii chemicznej, w tym dostrzec ograniczenia tych metod i narzędzi; potrafi – stosując także koncepcyjnie nowe metody – rozwiązywać złożone zadania inżynierskie, charakterystyczne dla technologii chemicznej, w tym zadania nietypowe oraz zadania zawierające komponent badawczy.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zachowań na zajęciach(C1-C5, W1-W5), kolokwium,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2024-05-13T12:53:29+02:00</dcterms:created>
  <dcterms:modified xsi:type="dcterms:W3CDTF">2024-05-13T12:53:29+02:00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