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- 5, przygotowanie do egzaminu - 15,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t>
      </w:r>
    </w:p>
    <w:p>
      <w:pPr>
        <w:keepNext w:val="1"/>
        <w:spacing w:after="10"/>
      </w:pPr>
      <w:r>
        <w:rPr>
          <w:b/>
          <w:bCs/>
        </w:rPr>
        <w:t xml:space="preserve">Treści kształcenia: </w:t>
      </w:r>
    </w:p>
    <w:p>
      <w:pPr>
        <w:spacing w:before="20" w:after="190"/>
      </w:pPr>
      <w:r>
        <w:rPr/>
        <w:t xml:space="preserve">Definicje struktury związku chemicznego. Stan skupienia a struktura związku. Ogólne przedstawienie wybranych metod badania struktur związków chemicznych. 
Podział spektroskopowych metod badania materiałów. Spektroskopia emisyjna i absorpcyjna. 
Magnetyczny rezonans jądrowy (NMR). Jądra aktywne w polu magnetycznym. Elementy widma NMR oraz ich powiązanie ze strukturą związku. Przesunięcie chemiczne i czynniki na nie wpływające. Rezonans jądrowy 1H, 13C, 29 Si oraz inne. Aparatura.
Spektroskopia elektronowego rezonansu paramagnetycznego (EPR). Porównanie NMR i EPR.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Techniki transmisyjne i odbiciowe.
Spektrometria mas (MS). Zasada pomiaru. Źródła jonów, rozdzielanie jonów i zapis widma masowego. Fragmentacja węglowodorów o różnej budowie, przegrupowania towarzyszące fragmentacji. Przykłady ustalania struktury za pomocą MS. Aparatura.
Połączenie wybranych technik (np. chromatografii gazowej) ze spektrometrią mas.
Mikroskopia elektronowa. Skaningowa mikroskopia elektronowa (SEM). Zasada rejestrowania obrazu. Aparatura. Połączenie SEM z analizą rentgenowską  mikroobszaru (EDS).
Przykłady innych metod badania struktur związków chemicznych. 
Łączne zastosowanie różnych metod w celu ustalenia struktury związku.</w:t>
      </w:r>
    </w:p>
    <w:p>
      <w:pPr>
        <w:keepNext w:val="1"/>
        <w:spacing w:after="10"/>
      </w:pPr>
      <w:r>
        <w:rPr>
          <w:b/>
          <w:bCs/>
        </w:rPr>
        <w:t xml:space="preserve">Metody oceny: </w:t>
      </w:r>
    </w:p>
    <w:p>
      <w:pPr>
        <w:spacing w:before="20" w:after="190"/>
      </w:pPr>
      <w:r>
        <w:rPr/>
        <w:t xml:space="preserve">1.	Obecność na wykładach jest zalecana. 
2.	Rejestrowanie dźwięku i obrazu przez studentów w trakcie zajęć jest zabronione. 
3.	Efekty uczenia się przypisane do wykładu będą weryfikowane na podstawie egzaminu pisemnego. 
4.	Warunkiem zaliczenia przedmiotu jest uzyskanie pozytywnej oceny z egzaminu. 
5.	Student ma prawo przystąpić do egzaminu w trzech wybranych terminach spośród terminów wyznaczonych w sesjach egzaminacyjnych. Prowadzący zajęcia może wyznaczyć dodatkowe terminy egzaminu, np. tzw. termin zerowy. Student może przystąpić do egzaminu w terminie dodatkowym, po wcześniejszym uzgodnieniu i uzyskaniu zgody prowadzącego zajęcia. 
6.	Ocena z egzaminu jest przekazywana do wiadomości studentów za pośrednictwem systemu USOS niezwłocznie po sprawdzeniu prac i dokonaniu ich oceny, ale nie później niż 2 dni przed terminem kolejnego egzaminu.    
7.	Podczas weryfikacji osiągnięcia efektów uczenia się na drodze egzaminu każdy zdający powinien mieć długopis (lub pióro) z niebieskim lub czarnym tuszem (atramentem) przeznaczone do zapisywania odpowiedzi.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umożliwia studentowi wgląd do jego ocenionych prac pisemnych do końca danego roku akademickiego po wcześniejszym uzgodnieniu terminu.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wybrane metody i techniki służące badaniom struktur związków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2024-05-13T13:37:57+02:00</dcterms:created>
  <dcterms:modified xsi:type="dcterms:W3CDTF">2024-05-13T13:37:57+02:00</dcterms:modified>
</cp:coreProperties>
</file>

<file path=docProps/custom.xml><?xml version="1.0" encoding="utf-8"?>
<Properties xmlns="http://schemas.openxmlformats.org/officeDocument/2006/custom-properties" xmlns:vt="http://schemas.openxmlformats.org/officeDocument/2006/docPropsVTypes"/>
</file>