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W - 150, C - 30</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Mikroorganizmy jako narzędzie bioterroryzmu
- Zagrożenia związane z przechowywaniem i przeróbką biomasy
Ćwiczenia:
- Środowiskowe zagrożenia zdrowia na tle innych zagrożeń
- Drobnoustroje chorobotwórcze w środowisku pracy
- Zagrożenia epidemiologiczne
- Szacowanie ryzyka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2026-10-09T21:20:30+02:00</dcterms:created>
  <dcterms:modified xsi:type="dcterms:W3CDTF">2026-10-09T21:20:30+02:00</dcterms:modified>
</cp:coreProperties>
</file>

<file path=docProps/custom.xml><?xml version="1.0" encoding="utf-8"?>
<Properties xmlns="http://schemas.openxmlformats.org/officeDocument/2006/custom-properties" xmlns:vt="http://schemas.openxmlformats.org/officeDocument/2006/docPropsVTypes"/>
</file>