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w:t>
      </w:r>
    </w:p>
    <w:p>
      <w:pPr>
        <w:keepNext w:val="1"/>
        <w:spacing w:after="10"/>
      </w:pPr>
      <w:r>
        <w:rPr>
          <w:b/>
          <w:bCs/>
        </w:rPr>
        <w:t xml:space="preserve">Koordynator przedmiotu: </w:t>
      </w:r>
    </w:p>
    <w:p>
      <w:pPr>
        <w:spacing w:before="20" w:after="190"/>
      </w:pPr>
      <w:r>
        <w:rPr/>
        <w:t xml:space="preserve">Prof. dr hab. inż. Tadeusz Kulik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1110-BG000-ISP-5303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30
Zajęcia laboratoryjne	0
Ćwiczenia	0
Przygotowanie do zajęć laboratoryjnych	0
Zapoznanie się z literaturą	10
Napisanie programu, uruchomienie, weryfikacja	
Przygotowanie raportu	
Przygotowanie do egzaminu, obecność na egzaminie	
Przygotowanie do kolokwiów 	20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przeznaczony dla studentów posiadających </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w:t>
      </w:r>
    </w:p>
    <w:p>
      <w:pPr>
        <w:keepNext w:val="1"/>
        <w:spacing w:after="10"/>
      </w:pPr>
      <w:r>
        <w:rPr>
          <w:b/>
          <w:bCs/>
        </w:rPr>
        <w:t xml:space="preserve">Treści kształcenia: </w:t>
      </w:r>
    </w:p>
    <w:p>
      <w:pPr>
        <w:spacing w:before="20" w:after="190"/>
      </w:pPr>
      <w:r>
        <w:rPr/>
        <w:t xml:space="preserve">Treści merytoryczne wykładów
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Ocena zaangażowania studenta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 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K_W17</w:t>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keepNext w:val="1"/>
        <w:spacing w:after="10"/>
      </w:pPr>
      <w:r>
        <w:rPr>
          <w:b/>
          <w:bCs/>
        </w:rPr>
        <w:t xml:space="preserve">Charakterystyka W_03: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analizować pozatechniczne aspekty przetwórstwa odpadów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Umie zaproponować ogólne zasady recyklingu materiałó</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K_U16</w:t>
      </w:r>
    </w:p>
    <w:p>
      <w:pPr>
        <w:spacing w:before="20" w:after="190"/>
      </w:pPr>
      <w:r>
        <w:rPr>
          <w:b/>
          <w:bCs/>
        </w:rPr>
        <w:t xml:space="preserve">Powiązane charakterystyki obszarowe: </w:t>
      </w:r>
      <w:r>
        <w:rPr/>
        <w:t xml:space="preserve"/>
      </w:r>
    </w:p>
    <w:p>
      <w:pPr>
        <w:keepNext w:val="1"/>
        <w:spacing w:after="10"/>
      </w:pPr>
      <w:r>
        <w:rPr>
          <w:b/>
          <w:bCs/>
        </w:rPr>
        <w:t xml:space="preserve">Charakterystyka U_03: </w:t>
      </w:r>
    </w:p>
    <w:p>
      <w:pPr/>
      <w:r>
        <w:rPr/>
        <w:t xml:space="preserve">Potrafi zastosować metody recyklingu określonych grup wyrobów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2024-05-18T18:40:08+02:00</dcterms:created>
  <dcterms:modified xsi:type="dcterms:W3CDTF">2024-05-18T18:40:08+02:00</dcterms:modified>
</cp:coreProperties>
</file>

<file path=docProps/custom.xml><?xml version="1.0" encoding="utf-8"?>
<Properties xmlns="http://schemas.openxmlformats.org/officeDocument/2006/custom-properties" xmlns:vt="http://schemas.openxmlformats.org/officeDocument/2006/docPropsVTypes"/>
</file>