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Negocjacje, strategie 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GK.SIOB632_W01: </w:t>
      </w:r>
    </w:p>
    <w:p>
      <w:pPr/>
      <w:r>
        <w:rPr/>
        <w:t xml:space="preserve">uzyska pogłębioną wiedzę z zakresu wyrównania sieci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ustnych o charakterze teoretyczno-problemowym, ocena wiedzy i umiejętności związanych z realizacją zadań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GK.SIOB632_U01: </w:t>
      </w:r>
    </w:p>
    <w:p>
      <w:pPr/>
      <w:r>
        <w:rPr/>
        <w:t xml:space="preserve">potrafi oprogramować procedury wyrównania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ustnych o charakterze teoretyczno-problemowym, ocena wiedzy i umiejętności związanych z realizacją zadań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GK.SIOB632_K01: </w:t>
      </w:r>
    </w:p>
    <w:p>
      <w:pPr/>
      <w:r>
        <w:rPr/>
        <w:t xml:space="preserve">ma świadomość odpowiedzialności za poprawność wyników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opracowanych na zajęciach procedur i programów wyrównawczych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2024-05-19T18:29:09+02:00</dcterms:created>
  <dcterms:modified xsi:type="dcterms:W3CDTF">2024-05-19T18:29:09+02:00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