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8 x 1 godz.= 8 godz., udział w ćwiczeniach projektowych 8 x 2 godz. = 16 godz., przygotowanie do ćwiczeń projektowych 8 godz., realizacja ćwiczeń projektowych  godz. 24, przygotowanie do zaliczeń i egzaminu 19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26 godz. (- udział w wykładach: 8 x 1 godz. = 8 godz., - udział w ćwiczeniach projektowych: 8 x 2 godz. = 16 godz., 2 godz. konsultacji) Nakład pracy związany z zajęciami wymagającymi bezpośredniego udziału nauczyciela wynosi 26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40 godz. (- udział w ćwiczeniach projektowych: 8 x 2 godz. = 16 godz., - realizacja ćwiczeń projektowych: 24 godz.). Łączny nakład pracy studenta wynosi 40 godz., co odpowiada 1.6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proj.: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GK.NIK414_W1: </w:t>
      </w:r>
    </w:p>
    <w:p>
      <w:pPr/>
      <w:r>
        <w:rPr/>
        <w:t xml:space="preserve">Ma wiedzę na temat odwzorowań kartograficznych, układów współrzędnych, teorii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GK.NIK414_W2: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GK.NIK414_U1: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GK.NIK414_U2: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2024-05-12T15:49:11+02:00</dcterms:created>
  <dcterms:modified xsi:type="dcterms:W3CDTF">2024-05-12T15:49:11+02:00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