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D/ 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- 8 godzin,
b) uczestnictwo w ćwiczeniach - 8 godzin,
c) udział w konsultacjach  - 5 godzin,
d) kolokwium zaliczeniowe - 2 godziny.
2) Praca własna studenta - 52 godziny, w tym:
a) przygotowanie do zajęć - 18 godzin,
b) wykonanie ćwiczeń obliczeniowych - 26 godziny,
b) przygotowanie do sprawdzianów - 8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 godziny, w tym:
a) uczestnictwo w wykładach - 8 godzin,
b) uczestnictwo w ćwiczeniach - 8 godzin,
c) udział w konsultacjach  - 5 godzin,
d) kolokwium zaliczeniowe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 pracy studenta, w tym:
a) udział w zajęciach ćwiczeniowych - 8 godzin,
b) wykonanie ćwiczeń obliczeniowych - 20 godzin,
b) przygotowanie sprawozdań z wykonanych ćwiczeń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stosowanych w badaniach przemieszczeń. 
Przedstawienie różnych metod opracowania wyników pomiarów przemieszczeń. 
Wyjaśnienie sposobu dokonywania geodezyjnej interpretacji uzyskanych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 przy zastosowaniu sieci kontrolnych różnego typu. Omówienie kolejnych etapów opracowania wyników pomiarów w celu obliczenia przemieszczeń.  Metodyka wyznaczenia bezwzględnych przemieszczeń poziomych przy użyciu sieci trygonometrycznej niepełnej. Geodezyjna interpretacja wyników pomiarów przemieszczeń. Metody pomiaru przemieszczeń względnych.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ćwiczeń wymagane jest uzyskanie pozytywnych ocen ze wszystkich ćwiczeń obliczeniowych oraz ze sprawdzianu zaliczeniowego.
Ocenę ostateczną stanowi ocena średnia z zaliczenia wykładu oraz z zaliczenia projektu. 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(2015)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Skórczyński A. (1985) Rachunek wyrównawczy, Wydawnictwo PPWK, Warszawa.
5. Wiśniewski Z. (2005) Rachunek wyrównawczy w geodezji (z przykładami), Wydawnictwo Uniwersytetu Warmińsko-Mazurskiego, Olsztyn;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GK.NIK889_W1: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odpowiedzi z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GK.NIK889_W2: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GK.NIK889_W3: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GK.NIK889_W4: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 oraz oceny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GK.NIK889_U1: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GK.NIK889_U2: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 oraz oceny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GK.NIK889_U3: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GK.NIK889_U4: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na podstawie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GK.NIK889_K1: </w:t>
      </w:r>
    </w:p>
    <w:p>
      <w:pPr/>
      <w:r>
        <w:rPr/>
        <w:t xml:space="preserve">ma świadomość ważności uzyskiwanych wyników i rozumie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GK.NIK889_K2: </w:t>
      </w:r>
    </w:p>
    <w:p>
      <w:pPr/>
      <w:r>
        <w:rPr/>
        <w:t xml:space="preserve">ma świadomość ważności zachowania w sposób profesjonalny i przestrzegania
zasad etyki zawodowej
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2024-05-12T02:10:41+02:00</dcterms:created>
  <dcterms:modified xsi:type="dcterms:W3CDTF">2024-05-12T02:10:41+02:00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