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 II</w:t>
      </w:r>
    </w:p>
    <w:p>
      <w:pPr>
        <w:keepNext w:val="1"/>
        <w:spacing w:after="10"/>
      </w:pPr>
      <w:r>
        <w:rPr>
          <w:b/>
          <w:bCs/>
        </w:rPr>
        <w:t xml:space="preserve">Koordynator przedmiotu: </w:t>
      </w:r>
    </w:p>
    <w:p>
      <w:pPr>
        <w:spacing w:before="20" w:after="190"/>
      </w:pPr>
      <w:r>
        <w:rPr/>
        <w:t xml:space="preserve">dr hab. inż. Marcin Karabin,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uczestnictwo w wykładach - 8 godzin
b) uczestnictwo w ćwiczeniach - 16 godzin,
c) udział w konsultacjach związanych z realizacją ćwiczeń - 5 godzin.
2) Praca własna studenta -  46 godzin, w tym:
a) zapoznanie się ze wskazaną literaturą - 15 godzin,
b)  realizacja zadań projektowych w domu - 15 godzin,
c) przygotowanie do egzaminu  i obecność na egzaminie - 16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- 29 godzin, w tym:
a) uczestnictwo w wykładach - 8 godzin
b) uczestnictwo w ćwiczeniach - 16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- 46 godzin, w tym:
a) uczestnictwo w ćwiczeniach - 16 godzin,
b)  realizacja zadań projektowych w domu - 15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 Zaliczenie przedmiotu Kataster Nieruchomości prowadzonego na sem.1 studiów drugiego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katastralnych.Przedstawienie katastru jako podstawy tworzenia Zintegrowanego Systemu Informacji o Nieruchomościach. Zapoznanie się z systemami katastralnymi funkcjonującymi w krajach Unii Europejskiej oraz kierunkami rozwoju katastru na świecie. Cel całego przedmiotu tj. sem. 1 oraz sem. 3.</w:t>
      </w:r>
    </w:p>
    <w:p>
      <w:pPr>
        <w:keepNext w:val="1"/>
        <w:spacing w:after="10"/>
      </w:pPr>
      <w:r>
        <w:rPr>
          <w:b/>
          <w:bCs/>
        </w:rPr>
        <w:t xml:space="preserve">Treści kształcenia: </w:t>
      </w:r>
    </w:p>
    <w:p>
      <w:pPr>
        <w:spacing w:before="20" w:after="190"/>
      </w:pPr>
      <w:r>
        <w:rPr/>
        <w:t xml:space="preserve">Wykład:
Aktualne procedury przepływu informacji katastralnej w Polsce – między systemami katastru i ksiąg wieczystych.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Systemy katastralne w wybranych krajach Unii Europejskiej (Holandia, Austria, Szwecja, Niemcy – wybrane landy) – aspekty organizacyjne i techniczne, powiązanie komponentu katastru fizycznego z księgami wieczystymi oraz odniesienie do rozwiązań polskich. Kataster 3D – idea katastru trójwymiarowego, rozwiązania istniejące, proponowane rozwiązania modelowe, kierunki badań. Norma ISO 19152 – Land Administration Domain Model (LADM) oraz standard CityGML - ich rola i wykorzystanie w budowaniu katastru 3D. Wizualizacja danych katastralnych, w tym na potrzeby nowoczesnych systemów katastralnych 3D.
Ćwiczenia projektowe:
Przygotowanie dokumentacji geodezyjnej inwentaryzacji powykonawczej budynku, będącej podstawą do zarejestrowania pełnego zestawu danych o budynku w katastrze. Przygotowanie dokumentacji technicznej dla aktualizacji katastru w wyniku tyczenia obiektu budowlanego.
Pozyskanie danych do numerycznego opisu granic działek ewidencyjnych na podstawie dokumentacji źródłowej (zarysy pomiarowe, szkice wyznaczenia działek po scaleniu itd.). Transformacja  współrzędnych punktów z układu 75 do układu PUWG 2000 oraz obliczenie współrzędnych punktów granicznych działek, sporządzenie dokumentacji w postaci protokołu wyznaczenia punktów granicznych ujawnionych uprzednio w ewidencji gruntów i budynków wraz z obliczeniami powierzchni działek, szkicem podstawowym, zawiadomieniami stron o ww. czynnościach i sprawozdaniem technicznym. </w:t>
      </w:r>
    </w:p>
    <w:p>
      <w:pPr>
        <w:keepNext w:val="1"/>
        <w:spacing w:after="10"/>
      </w:pPr>
      <w:r>
        <w:rPr>
          <w:b/>
          <w:bCs/>
        </w:rPr>
        <w:t xml:space="preserve">Metody oceny: </w:t>
      </w:r>
    </w:p>
    <w:p>
      <w:pPr>
        <w:spacing w:before="20" w:after="190"/>
      </w:pPr>
      <w:r>
        <w:rPr/>
        <w:t xml:space="preserve">Punkty ECTS (3)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celem uzgodnienia terminu odrobienia ćwiczeń.
Narzędzia pracy zdalnej wykład:
Wszystkie materiały do przedmiotu – w zakresie wykładów tj. prezentacje oraz informacje o przedmiocie oraz formach i warunkach zaliczenia - będą udostępniane przez prowadzącego pocztą email (na wskazany przez Uczestników zajęć adres mailowy – tzw. mail grupowy lub na skrzynki poczty uczelnianej z użyciem wysyłki masowej przez USOSmail przesłany będzie link do materiałów na dysku Google Drive) .
Wykłady po zapoznaniu się z danym materiałem przez studenta (przesłana prezentacja wykładowa) będą prowadzone z wykorzystaniem aplikacji Microsoft Teams (w terminie wykładu w siatce planu). Aplikacja jest dostępna dla każdego studenta Politechniki Warszawskiej w ramach pakietu Microsot Office 365.
Do zamieszczania prac wykonanych na zaliczenie przedmiotu (opracowania wykonane samodzielnie przez Studentów, takie jak rozwiązania zadań i projektów, operaty) będzie wykorzystywany serwer Google Drive – link do folderu zostanie przesłany do Studentów drogą mailową na tzw. mail grupowy. Istnieje także możliwość przesłania wykonanej przez Studenta pracy bezpośrednio na adres mailowy prowadzącego.
Wykład: 
Sprawdzian zaliczeniowy odbywać się będzie metodą zdalną przy użyciu formularza elektronicznego Microsoft Forms. O dacie, godzinie i formie sprawdzianu studenci zostaną poinformowani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sprawdzianu (bądź ich poprawy). 
Komunikacja wykład: 
W ramach przedmiotu przewiduje się użycie następujących kanałów komunikacji zdalnej:
-	Komunikaty będą wysyłane do Studentów pocztą email na skrzynkę pocztową odpowiadającą tzw. mailowi grupowemu wskazanemu przez Studentów lub na  skrzynki studenckiej poczty uczelnianej z użyciem wysyłki masowej przez USOSmail.
-	Pytania do prowadzącego mogą być kierowane na jego skrzynkę pocztową. Dla zainteresowanych istnieje możliwość konsultacji w formie wideokonferencji w aplikacji Microsoft Teams w uzgodnionym drogą mailową terminie dogodnym dla Studenta. 
-	Konsultacje z prowadzącym wykład możliwe także telefonicznie 608-402-505
Uwagi końcowe: 
Student jest zobowiązany do regularnego zapoznawania się z informacjami i materiałami dostępnymi na stronie Uczelni i Wydziału.
Student jest zobowiązany do regularnego sprawdzania uczelnianej studenckiej skrzynki pocztowej oraz skrzynki pocztowej odpowiadającej tzw. mailowi grupowemu.
Student jest zobowiązany do postępowania zgodnie z przesłanymi przez prowadzącego informacjami, instrukcjami i wytycznymi.
W przypadku prowadzenia zajęć “on-line” Student nie może nagrywać prowadzonej transmisji audio-wideo bez wyraźnej zgody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17 listopada 1964r. – Kodeks postępowania cywilnego (Dz. U. z 2018, poz. 155 z poźn. zmianami)
Rozporządzenie Ministra Sprawiedliwości z dnia 23 grudnia 2015r. – Regulamin urzędowania sądów powszechnych (Dz.U.2015 poz. 2316)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ROZPORZĄDZENIE MINISTRA ROZWOJU z dnia 18 sierpnia 2020 r. w sprawie standardów technicznych wykonywania geodezyjnych pomiarów sytuacyjnych i wysokościowych oraz opracowywania i przekazywania wyników tych pomiarów do państwowego zasobu geodezyjnego i kartograficznego
Normy branżowe w zakresie obliczania wskaźników powierzchniowych i kubaturowych w budownictwie - obowiązujące na przestrzeni lat, jak i obecnie (PN-70/B-02365 i PN-ISO 9836:1997, ANSI/BOMA Z65.1-2010, norma GIF, standardy RISC, IPMS – Office Buildings).
Wybrane pozycje literatury dotyczącej historii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Orzecznictwo sądowe w omawianym zakresie.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GK.NMS320_W1: </w:t>
      </w:r>
    </w:p>
    <w:p>
      <w:pPr/>
      <w:r>
        <w:rPr/>
        <w:t xml:space="preserve">Ma specjalistyczną, poszerzoną i uporządkowaną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T2A_W09, T2A_W11, T2A_W02, T2A_W03, T2A_W04, T2A_W05</w:t>
      </w:r>
    </w:p>
    <w:p>
      <w:pPr>
        <w:pStyle w:val="Heading3"/>
      </w:pPr>
      <w:bookmarkStart w:id="3" w:name="_Toc3"/>
      <w:r>
        <w:t>Profil ogólnoakademicki - umiejętności</w:t>
      </w:r>
      <w:bookmarkEnd w:id="3"/>
    </w:p>
    <w:p>
      <w:pPr>
        <w:keepNext w:val="1"/>
        <w:spacing w:after="10"/>
      </w:pPr>
      <w:r>
        <w:rPr>
          <w:b/>
          <w:bCs/>
        </w:rPr>
        <w:t xml:space="preserve">Efekt GK.NMS320_U1: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K_U15</w:t>
      </w:r>
    </w:p>
    <w:p>
      <w:pPr>
        <w:spacing w:before="20" w:after="190"/>
      </w:pPr>
      <w:r>
        <w:rPr>
          <w:b/>
          <w:bCs/>
        </w:rPr>
        <w:t xml:space="preserve">Powiązane efekty obszarowe: </w:t>
      </w:r>
      <w:r>
        <w:rPr/>
        <w:t xml:space="preserve">T2A_U01, T2A_U09, T2A_U10, T2A_U11, T2A_U07, T2A_U08, T2A_U10, T2A_U12, T2A_U16, T2A_U15</w:t>
      </w:r>
    </w:p>
    <w:p>
      <w:pPr>
        <w:pStyle w:val="Heading3"/>
      </w:pPr>
      <w:bookmarkStart w:id="4" w:name="_Toc4"/>
      <w:r>
        <w:t>Profil ogólnoakademicki - kompetencje społeczne</w:t>
      </w:r>
      <w:bookmarkEnd w:id="4"/>
    </w:p>
    <w:p>
      <w:pPr>
        <w:keepNext w:val="1"/>
        <w:spacing w:after="10"/>
      </w:pPr>
      <w:r>
        <w:rPr>
          <w:b/>
          <w:bCs/>
        </w:rPr>
        <w:t xml:space="preserve">Efekt GK.NMS320_K1: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2024-05-19T08:39:54+02:00</dcterms:created>
  <dcterms:modified xsi:type="dcterms:W3CDTF">2024-05-19T08:39:54+02:00</dcterms:modified>
</cp:coreProperties>
</file>

<file path=docProps/custom.xml><?xml version="1.0" encoding="utf-8"?>
<Properties xmlns="http://schemas.openxmlformats.org/officeDocument/2006/custom-properties" xmlns:vt="http://schemas.openxmlformats.org/officeDocument/2006/docPropsVTypes"/>
</file>