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- 15 godzin, w tym:
a) studia literaturowe i analiza przykładów opracowań - 10 godzin
b) przygotowanie do sprawdzianu zaliczeniowego - 5 godzin.
RAZEM: 31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punkta ECTS - liczba godzin kontaktowych - 16 godzin, w tym:
a) uczestnictwo w wykładach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T2A_W10,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GK.NMS450_U2: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GK.NMS450_K1: </w:t>
      </w:r>
    </w:p>
    <w:p>
      <w:pPr/>
      <w:r>
        <w:rPr/>
        <w:t xml:space="preserve">ma świadomość odpowiedzialności za publikowane dane przestrzenne i opisowe, ich jakość i ograniczenia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2024-05-19T04:11:37+02:00</dcterms:created>
  <dcterms:modified xsi:type="dcterms:W3CDTF">2024-05-19T04:11:37+02:00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