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 - projekt</w:t>
      </w:r>
    </w:p>
    <w:p>
      <w:pPr>
        <w:keepNext w:val="1"/>
        <w:spacing w:after="10"/>
      </w:pPr>
      <w:r>
        <w:rPr>
          <w:b/>
          <w:bCs/>
        </w:rPr>
        <w:t xml:space="preserve">Koordynator przedmiotu: </w:t>
      </w:r>
    </w:p>
    <w:p>
      <w:pPr>
        <w:spacing w:before="20" w:after="190"/>
      </w:pPr>
      <w:r>
        <w:rPr/>
        <w:t xml:space="preserve">dr inż. /  Maciej Banach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30h;
Wykonanie projektu 5h;                                                                                               Przygotowanie do zaliczenia 2,5h;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projektu 5h;                                                                                               Przygotowanie do zaliczenia 2,5h;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P1. Omówienie zakresu projektu wstępnego hali przemysłowej z transportem podpartym (alternatywnie z transportem podwieszonym). Opis techniczny. Podstawy formalne. Przedmiot opracowania. Dane wyjściowe. Zakres projektu. Ogólna koncepcja konstrukcji. Opis ustrojów i elementów konstrukcyjnych: poszycia dachu i ścian, płatew pełnościenna, rama z kształtowników pełnościennych, belka podsuwnicowa z dwuteownika walcowanego lub blachownicowego.                                                                                                   P2. Obciążenia przyjęte w projekcie: stałe, zmienne od: wiatru, śniegu, technologiczne. Metoda obliczeń statycznych. Materiały użyte do wykonania konstrukcji. Warunki gruntowe. Wymagania ochrony przeciwpożarowej i antykorozyjnej. Ogólne zasady montażu.
P3. Zestawienie obciążeń i ich kombinacje w obliczeniach statycznych – w fazie montażu i eksploatacji.
P4. Obliczenia toru jezdnego suwnicy natorowej (alternatywnie podwieszonej). Oddziaływania suwnicy na belkę toru. Obliczenia sił wewnętrznych w belce od oddziaływań suwnicy.                                                                                                                     P5. Przyjęcie przekroju poprzecznego belki i obliczenia jej charakterystyk geometryczno – wytrzymałościowych. Sprawdzenie stanów granicznych belki i zmęczenia elementu. Połączenia belki toru jezdnego suwnicy z konstrukcją hali.
P6. Obliczenia ciągłej, pełnościennej płatwi dachowej. Schemat statyczny. Zestawienie obciążeń, kombinacje obciążeń, obliczenia statyczne. Sprawdzenie stanów granicznych. Obliczenia styków montażowych.
P7. Obliczenia pełnościennego układu ramowego. Zestawienie obciążeń, kombinacje obciążeń. Komputerowe obliczenia statyczne układu poprzecznego. Interpretacja wyników obliczeń.                                                                                                                                            P8. Wymiarowania elementów ramy i ich połączeń. Obliczenia węzła podporowego rygla i styku montażowego dźwigara. Sprawdzenie stanu granicznego użytkowalności.
P9. Słup jednogałęziowy. Dobór przekroju poprzecznego. Ustalenie długości wyboczeniowych w dwóch płaszczyznach. Obliczenia wytrzymałościowe. Sprawdzenie stanu granicznego użytkowalności.
P10. Zakotwienie słupa. Kształtowanie podstawy słupa. Obliczenia wytrzymałościowe części składowych podstawy słupa i ich połączeń. Obliczenia zakotwienia słupa.               P11. Rozplanowanie stężeń dachowych i ściennych. Obliczenia stężeń według procedur Eurokodu 3.                                                                                                                                 P12. Obliczenia stężeń według dokładniejszych metod zaprezentowanych w literaturze technicznej.
P13. Sporządzanie rysunków konstrukcji stalowych. Opisywanie prętów, kształtowników, blach oraz połączeń spawanych i śrubowych. Metody wymiarowania. Rysunki schematyczne, zestawieniowe, montażowe i warsztatowe.
P14. Zestawienie materiałów i opis techniczny konstrukcji.
</w:t>
      </w:r>
    </w:p>
    <w:p>
      <w:pPr>
        <w:keepNext w:val="1"/>
        <w:spacing w:after="10"/>
      </w:pPr>
      <w:r>
        <w:rPr>
          <w:b/>
          <w:bCs/>
        </w:rPr>
        <w:t xml:space="preserve">Metody oceny: </w:t>
      </w:r>
    </w:p>
    <w:p>
      <w:pPr>
        <w:spacing w:before="20" w:after="190"/>
      </w:pPr>
      <w:r>
        <w:rPr/>
        <w:t xml:space="preserve">1.	Obecność na ćwiczeniach jest obowiązkowa. Dopuszczalne jest opuszczenie co najwyżej dwóch zajęć, które należy usprawiedliwić indywidualnie. W przypadku zwolnienia lekarskiego, liczba nieobecności na ćwiczeniach nie powinna przekroczyć  50% zajęć.  Obecność na wykładach jest zalecana.
2.	Efekty kształcenia przypisane do przedmiotu będą weryfikowane na dwóch kolokwiach, które odbędą się w czasie trwania ćwiczeń z przedmiotu, zapowiedzianych kartkówkach w czasie wykładów oraz egzaminu, w czasie sesji egzaminacyjnej.
3.	Zaliczenie przedmiotu uzyskuje student, który zdobył co najmniej 50% punktów z dwóch kolokwiów, które odbywają się  w czasie szóstego i dwunastego tygodnia zajęć w semestrze na ćwiczeniach. Za każde z kolokwiów student może uzyskać maksymalnie 20 punktów. W sumie, za kolokwia, student maksymalnie otrzymuje 40 punktów. W czasie wykładów, zostaną przeprowadzone zapowiedziane kartkówki z zagadnień teoretycznych. Za kartkówki student może uzyskać 20pkt. Do egzaminu ma prawo przystąpić każdy student. Egzamin, przeprowadzany jest w trakcie terminów podanych w harmonogramie sesji.  Zadania na egzaminie dotyczą wskazanych przez wykładowcę umiejętności oraz treści teoretycznych z wykładu i z ćwiczeń, które nie zostały zweryfikowane na kolokwiach. W sumie z punktami z kartkówek,  za egzamin student może uzyskać 60 punktów.  Kryterium oceny z egzaminu:  (0 - 50%] liczby punktów – ocena 2,0;  (50 - 60%] – ocena 3,0;  (60 - 70%] – ocena 3,5;  (70 - 80%] – ocena 4,0;  (80 - 90%] – ocena 4,5;  (90 - 100%] – ocena 5,0.  Do oceny końcowej punkty uzyskane z egzaminu są sumowane z punktami z zaliczenia. Ocena końcowa jest ustalona zgodnie z następującymi zasadami: (50-60]-ocena  3, ; (60-70]-ocena 3,5; (70-80]-ocena 4; (80-90]- ocena 4,5; (90-100] – ocena  5,0.   Osoby, które  uzyskały 20 i więcej punktów z dwóch kolokwiów do czternastego tygodnia zajęć, mogą przystąpić do terminu zerowego egzaminu, który odbywa się w czasie ostatniego tygodnia zajęć w semestrze.                                                                                                     
4.	Liczba punktów uzyskana z  kolokwium lub kartkówki przekazywana jest do wiadomości studentów niezwłocznie po sprawdzeniu prac i dokonaniu ich oceny (forma przekazywania ocen do ustalenia ze studentami w trakcie zajęć). Ocena z egzaminu i ocena końcowa z przedmiotu przekazywana jest do wiadomości studentów w formie uzgodnionej ze studentami. 
5.	Prowadzący ćwiczenia może przeprowadzić poprawę kolokwium, z którego maksymalnie student może uzyskać 15 pkt., w  dodatkowym terminie, ustalonym ze studentami. Każdy student ma  prawo do uczestnictwa w poprawie. Osoby, które nie uzyskały zaliczenia na podstawie odbytych kolokwiów, mogą się o nie starać, w ostatnim tygodniu zajęć w semestrze,  przystępując do kolokwium poprawkowego. To kolokwium obejmuje zakres wszystkich treści weryfikowanych na kolokwiach odbytych w semestrze i maksymalnie student może uzyskać 40 punktów za poprawne rozwiązania i odpowiedzi. Punkty uzyskane wcześniej nie sumują się z punktami uzyskanymi na ostatniej pracy kontrolnej. Kryteria zaliczenia jak wyżej. 
6.	Student, który uzyskał zaliczenie przedmiotu i niezadawalający wynik z egzaminu powtarza zajęcia wykładowe z przedmiotu. Student, który uzyskał zadawalający wynik z egzaminu i niezadawalający wynik z zaliczenia powtarza zajęcia ćwiczeniowe z przedmiotu. Student, który nie  uzyskał zaliczenia z przedmiotu i niezadawalający wynik z egzaminu powtarza całość przedmiotu.
7.	W czasie kolokwium i egzaminu można korzystać z kalkulatora, lecz nie w telefonie komórkowym. Telefony w czasie trwania pracy pisemnej należy wyłączyć. Zabronione jest również korzystanie z urządzeń elektronicznych. Materiały, z których mogą korzystać studenci w czasie prac kontrolnych, ustala prowadzący zajęcia.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bez zgody prowadzącego,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"1.J. Bródka, M. Broniewicz, M. Giżejowski: Kształtowniki gięte, 
2. Z. Kurzawa: Stalowe konstrukcje prętowe cz. I, II, III,
3. J. Bródka, M. Broniewicz: Konstrukcje stalowe z rur,
4. praca zbiorowa: Budownictwo Ogólne, tom 5, 
5. praca zbiorowa: Projektowanie i obliczanie połączeń i węzłów konstrukcji stalowych, tom 1 i 2
6. K. Rykaluk: Konstrukcje metalowe cz. II,
7. praca zbiorowa pod redakcją A. Kozłowskiego: Konstrukcje stalowe. Przykłady obliczeń według PN-EN 1993-1 cz. II i cz. III"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B2A_U15_01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zaproponować usprawnienia istniejących rozwiązań technicznych w wykonawstwie budowlanym.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z wykorzystaniem różnych form zdobywania wiedzy i umiejętności.</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2024-05-18T17:49:37+02:00</dcterms:created>
  <dcterms:modified xsi:type="dcterms:W3CDTF">2024-05-18T17:49:37+02:00</dcterms:modified>
</cp:coreProperties>
</file>

<file path=docProps/custom.xml><?xml version="1.0" encoding="utf-8"?>
<Properties xmlns="http://schemas.openxmlformats.org/officeDocument/2006/custom-properties" xmlns:vt="http://schemas.openxmlformats.org/officeDocument/2006/docPropsVTypes"/>
</file>