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20h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planowania i wykonywania robót budowlanych: istota nowoczesności, sposoby jej oceny, trendy rozwojowe, przegląd nowoczesnych rozwiązań w zakresie robót ziemnych, fundamentowych, betonowych i zbrojarskich, izolacyjnych, wykończeniowych. W2: Współczesne środki mechanizacji robót betonowych i wykończeniowych. Nowoczesne techniki wspomagające prace przygotowawcze i geodezyjne. Przygotowanie i prowadzenie robót z wykorzystaniem narzędzi BIM. W3: Zautomatyzowane technologie wznoszenia budynków, druk 3D w budownictwie. W4:  Nowoczesne rozwiązania technologiczne i materiałowe w wybranych dziedzinach budownictwa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oraz na zajęciach, na których prowadzone jest sprawdzian pisemny (kolokwium) z wykładów.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sprawdzian pisemny z wykładów obejmujący odpowiedzi na pytania problemowe. 
3.	Zasady zaliczania zajęć, przedmiotu i wystawiania oceny końcowej z przedmiotu (metody oceny w karcie przedmiotu) (§ 11. ust. 2 Regulaminu studiów PW). 
•	Sprawdzian pisemny oceniany jest na ocenę. Termin sprawdzianu ustalany jest co najmniej z wyprzedzeniem 1 zjazdu z podaniem zakresu problemowego i formy.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sprawdzianu (przynajmniej jeden termin) ustala wykładowca w porozumieniu z grupą studentów, którzy mają ze sprawdzianu ocenę niedostateczną. 
6.	Zasady powtarzania z powodu niezadowalających wyników w nauce:
•	Zajęcia wykładowe podlegają powtórzeniu w sytuacji niezaliczenia sprawdzianu pisemnego.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	nie dopuszcza się rejestrowania dźwięku i obrazu podczas zajęć.
10.	Informacja dotycząca zasad i terminu wglądu przez studentów do ocenionych prac: 
•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W05_01: </w:t>
      </w:r>
    </w:p>
    <w:p>
      <w:pPr/>
      <w:r>
        <w:rPr/>
        <w:t xml:space="preserve">Zna nowoczesne technologie stosowane w budownictwie i trendy ich rozwoju z uwzględnieniem zastosowania technologii BIM na budowie
</w:t>
      </w:r>
    </w:p>
    <w:p>
      <w:pPr>
        <w:spacing w:before="60"/>
      </w:pPr>
      <w:r>
        <w:rPr/>
        <w:t xml:space="preserve">Weryfikacja: </w:t>
      </w:r>
    </w:p>
    <w:p>
      <w:pPr>
        <w:spacing w:before="20" w:after="190"/>
      </w:pPr>
      <w:r>
        <w:rPr/>
        <w:t xml:space="preserve">Kolokwium zaliczeniowe (W1 do W4)
</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naprawczce i zabezpieczcające.
</w:t>
      </w:r>
    </w:p>
    <w:p>
      <w:pPr>
        <w:spacing w:before="60"/>
      </w:pPr>
      <w:r>
        <w:rPr/>
        <w:t xml:space="preserve">Weryfikacja: </w:t>
      </w:r>
    </w:p>
    <w:p>
      <w:pPr>
        <w:spacing w:before="20" w:after="190"/>
      </w:pPr>
      <w:r>
        <w:rPr/>
        <w:t xml:space="preserve">Kolokwium zaliczeniowe (W1 do W4)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2024-05-21T07:26:06+02:00</dcterms:created>
  <dcterms:modified xsi:type="dcterms:W3CDTF">2024-05-21T07:26:06+02:00</dcterms:modified>
</cp:coreProperties>
</file>

<file path=docProps/custom.xml><?xml version="1.0" encoding="utf-8"?>
<Properties xmlns="http://schemas.openxmlformats.org/officeDocument/2006/custom-properties" xmlns:vt="http://schemas.openxmlformats.org/officeDocument/2006/docPropsVTypes"/>
</file>